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52584D" w14:textId="77777777">
      <w:pPr>
        <w:pStyle w:val="Title"/>
        <w:rPr>
          <w:caps w:val="0"/>
          <w:kern w:val="0"/>
        </w:rPr>
      </w:pPr>
      <w:r w:rsidRPr="002F6A28">
        <w:rPr>
          <w:caps w:val="0"/>
          <w:kern w:val="0"/>
        </w:rPr>
        <w:t>NOTIFICATION</w:t>
      </w:r>
    </w:p>
    <w:p w:rsidR="009239F7" w:rsidRPr="002F6A28" w:rsidP="002F6A28" w14:paraId="601256F1" w14:textId="77777777">
      <w:pPr>
        <w:jc w:val="center"/>
      </w:pPr>
      <w:r w:rsidRPr="002F6A28">
        <w:t>The following notification is being circulated in accordance with Article 10.6</w:t>
      </w:r>
    </w:p>
    <w:p w:rsidR="009239F7" w:rsidRPr="002F6A28" w:rsidP="002F6A28" w14:paraId="3A9E34A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F30B7A7" w14:textId="77777777" w:rsidTr="00DB13FE">
        <w:tblPrEx>
          <w:tblW w:w="5000" w:type="pct"/>
          <w:tblLayout w:type="fixed"/>
          <w:tblLook w:val="0000"/>
        </w:tblPrEx>
        <w:tc>
          <w:tcPr>
            <w:tcW w:w="607" w:type="dxa"/>
            <w:tcBorders>
              <w:top w:val="double" w:sz="4" w:space="0" w:color="auto"/>
            </w:tcBorders>
          </w:tcPr>
          <w:p w:rsidR="00F85C99" w:rsidRPr="002F6A28" w:rsidP="002F6A28" w14:paraId="6256504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453297C" w14:textId="77777777">
            <w:pPr>
              <w:spacing w:before="120" w:after="120"/>
            </w:pPr>
            <w:r w:rsidRPr="002F6A28">
              <w:rPr>
                <w:b/>
              </w:rPr>
              <w:t>Notifying Member:</w:t>
            </w:r>
            <w:r w:rsidRPr="00C92678" w:rsidR="00EE3A11">
              <w:t xml:space="preserve"> </w:t>
            </w:r>
            <w:r w:rsidRPr="00C92678" w:rsidR="00EE3A11">
              <w:rPr>
                <w:u w:val="single"/>
              </w:rPr>
              <w:t>RUSSIAN FEDERATION</w:t>
            </w:r>
          </w:p>
          <w:p w:rsidR="00F85C99" w:rsidRPr="002F6A28" w:rsidP="002F6A28" w14:paraId="256B448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0C7C9BF" w14:textId="77777777" w:rsidTr="00DB13FE">
        <w:tblPrEx>
          <w:tblW w:w="5000" w:type="pct"/>
          <w:tblLayout w:type="fixed"/>
          <w:tblLook w:val="0000"/>
        </w:tblPrEx>
        <w:tc>
          <w:tcPr>
            <w:tcW w:w="607" w:type="dxa"/>
          </w:tcPr>
          <w:p w:rsidR="00F85C99" w:rsidRPr="002F6A28" w:rsidP="002F6A28" w14:paraId="2B023585" w14:textId="77777777">
            <w:pPr>
              <w:spacing w:before="120" w:after="120"/>
              <w:jc w:val="left"/>
            </w:pPr>
            <w:r w:rsidRPr="002F6A28">
              <w:rPr>
                <w:b/>
              </w:rPr>
              <w:t>2.</w:t>
            </w:r>
          </w:p>
        </w:tc>
        <w:tc>
          <w:tcPr>
            <w:tcW w:w="8373" w:type="dxa"/>
          </w:tcPr>
          <w:p w:rsidR="00F85C99" w:rsidRPr="002F6A28" w:rsidP="000C3B6C" w14:paraId="0ECBFD78" w14:textId="77777777">
            <w:pPr>
              <w:spacing w:before="120" w:after="120"/>
            </w:pPr>
            <w:r w:rsidRPr="002F6A28">
              <w:rPr>
                <w:b/>
              </w:rPr>
              <w:t>Agency responsible:</w:t>
            </w:r>
            <w:r w:rsidRPr="00C379C8" w:rsidR="00EE3A11">
              <w:t xml:space="preserve"> </w:t>
            </w:r>
          </w:p>
          <w:p w:rsidR="00EE3A11" w:rsidRPr="00C379C8" w:rsidP="000C3B6C" w14:paraId="42C7A961" w14:textId="77777777">
            <w:r w:rsidRPr="00C379C8">
              <w:t>Russian Scientific and Technical Center for Information on Standardization, Metrology and Conformity Assessment (Standartinform, National enquiry point for the TBT Agreement)</w:t>
            </w:r>
          </w:p>
          <w:p w:rsidR="00EE3A11" w:rsidRPr="00C379C8" w:rsidP="000C3B6C" w14:paraId="00B9BE57" w14:textId="77777777">
            <w:pPr>
              <w:spacing w:after="120"/>
            </w:pPr>
            <w:r w:rsidRPr="00C379C8">
              <w:t xml:space="preserve">tel: +7(495) 531-26-59 E-mail: </w:t>
            </w:r>
            <w:hyperlink r:id="rId5" w:history="1">
              <w:r w:rsidRPr="00C379C8">
                <w:rPr>
                  <w:color w:val="0000FF"/>
                  <w:u w:val="single"/>
                </w:rPr>
                <w:t>info@gostinfo.ru</w:t>
              </w:r>
            </w:hyperlink>
            <w:r w:rsidRPr="00C379C8">
              <w:t xml:space="preserve"> Website: www.gostinfo.ru</w:t>
            </w:r>
          </w:p>
        </w:tc>
      </w:tr>
      <w:tr w14:paraId="0810E104" w14:textId="77777777" w:rsidTr="00DB13FE">
        <w:tblPrEx>
          <w:tblW w:w="5000" w:type="pct"/>
          <w:tblLayout w:type="fixed"/>
          <w:tblLook w:val="0000"/>
        </w:tblPrEx>
        <w:tc>
          <w:tcPr>
            <w:tcW w:w="607" w:type="dxa"/>
          </w:tcPr>
          <w:p w:rsidR="00F85C99" w:rsidRPr="002F6A28" w:rsidP="002F6A28" w14:paraId="3B93A2CB" w14:textId="77777777">
            <w:pPr>
              <w:spacing w:before="120" w:after="120"/>
              <w:jc w:val="left"/>
              <w:rPr>
                <w:b/>
              </w:rPr>
            </w:pPr>
            <w:r w:rsidRPr="002F6A28">
              <w:rPr>
                <w:b/>
              </w:rPr>
              <w:t>3.</w:t>
            </w:r>
          </w:p>
        </w:tc>
        <w:tc>
          <w:tcPr>
            <w:tcW w:w="8373" w:type="dxa"/>
          </w:tcPr>
          <w:p w:rsidR="00F85C99" w:rsidRPr="0058336F" w:rsidP="002F6A28" w14:paraId="29D9153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58593C" w14:textId="77777777" w:rsidTr="00DB13FE">
        <w:tblPrEx>
          <w:tblW w:w="5000" w:type="pct"/>
          <w:tblLayout w:type="fixed"/>
          <w:tblLook w:val="0000"/>
        </w:tblPrEx>
        <w:tc>
          <w:tcPr>
            <w:tcW w:w="607" w:type="dxa"/>
          </w:tcPr>
          <w:p w:rsidR="00F85C99" w:rsidRPr="002F6A28" w:rsidP="002F6A28" w14:paraId="0A9502BD" w14:textId="77777777">
            <w:pPr>
              <w:spacing w:before="120" w:after="120"/>
              <w:jc w:val="left"/>
            </w:pPr>
            <w:r w:rsidRPr="002F6A28">
              <w:rPr>
                <w:b/>
              </w:rPr>
              <w:t>4.</w:t>
            </w:r>
          </w:p>
        </w:tc>
        <w:tc>
          <w:tcPr>
            <w:tcW w:w="8373" w:type="dxa"/>
          </w:tcPr>
          <w:p w:rsidR="00F85C99" w:rsidRPr="002F6A28" w:rsidP="002F6A28" w14:paraId="1196CD8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Pharmaceutical products</w:t>
            </w:r>
          </w:p>
        </w:tc>
      </w:tr>
      <w:tr w14:paraId="25599750" w14:textId="77777777" w:rsidTr="00DB13FE">
        <w:tblPrEx>
          <w:tblW w:w="5000" w:type="pct"/>
          <w:tblLayout w:type="fixed"/>
          <w:tblLook w:val="0000"/>
        </w:tblPrEx>
        <w:tc>
          <w:tcPr>
            <w:tcW w:w="607" w:type="dxa"/>
          </w:tcPr>
          <w:p w:rsidR="00F85C99" w:rsidRPr="002F6A28" w:rsidP="002F6A28" w14:paraId="156449C9" w14:textId="77777777">
            <w:pPr>
              <w:spacing w:before="120" w:after="120"/>
              <w:jc w:val="left"/>
            </w:pPr>
            <w:r w:rsidRPr="002F6A28">
              <w:rPr>
                <w:b/>
              </w:rPr>
              <w:t>5.</w:t>
            </w:r>
          </w:p>
        </w:tc>
        <w:tc>
          <w:tcPr>
            <w:tcW w:w="8373" w:type="dxa"/>
          </w:tcPr>
          <w:p w:rsidR="00F85C99" w:rsidP="002F6A28" w14:paraId="436F689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to the Rules for Conducting Bioequivalence Research in the Eurasian Economic Union; (64 page(s), in Russian)</w:t>
            </w:r>
          </w:p>
          <w:p w:rsidR="000C3B6C" w:rsidRPr="000C3B6C" w:rsidP="002F6A28" w14:paraId="240BD75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C73DF" w:rsidRPr="00CE6C29" w:rsidP="002F6A28" w14:paraId="755051A8" w14:textId="77777777">
            <w:pPr>
              <w:spacing w:after="120"/>
              <w:rPr>
                <w:iCs/>
              </w:rPr>
            </w:pPr>
            <w:hyperlink r:id="rId6" w:tgtFrame="_blank" w:history="1">
              <w:r w:rsidRPr="00CE6C29">
                <w:rPr>
                  <w:iCs/>
                  <w:color w:val="0000FF"/>
                  <w:u w:val="single"/>
                </w:rPr>
                <w:t>https://regulation.eaeunion.org/orv/3162/</w:t>
              </w:r>
            </w:hyperlink>
          </w:p>
        </w:tc>
      </w:tr>
      <w:tr w14:paraId="245470FC" w14:textId="77777777" w:rsidTr="00DB13FE">
        <w:tblPrEx>
          <w:tblW w:w="5000" w:type="pct"/>
          <w:tblLayout w:type="fixed"/>
          <w:tblLook w:val="0000"/>
        </w:tblPrEx>
        <w:tc>
          <w:tcPr>
            <w:tcW w:w="607" w:type="dxa"/>
          </w:tcPr>
          <w:p w:rsidR="00F85C99" w:rsidRPr="002F6A28" w:rsidP="002F6A28" w14:paraId="790EA682" w14:textId="77777777">
            <w:pPr>
              <w:spacing w:before="120" w:after="120"/>
              <w:jc w:val="left"/>
              <w:rPr>
                <w:b/>
              </w:rPr>
            </w:pPr>
            <w:r w:rsidRPr="002F6A28">
              <w:rPr>
                <w:b/>
              </w:rPr>
              <w:t>6.</w:t>
            </w:r>
          </w:p>
        </w:tc>
        <w:tc>
          <w:tcPr>
            <w:tcW w:w="8373" w:type="dxa"/>
          </w:tcPr>
          <w:p w:rsidR="00D54AAD" w:rsidP="002F6A28" w14:paraId="2D81401D" w14:textId="77777777">
            <w:pPr>
              <w:spacing w:before="120" w:after="120"/>
              <w:rPr>
                <w:b/>
              </w:rPr>
            </w:pPr>
            <w:r w:rsidRPr="002F6A28">
              <w:rPr>
                <w:b/>
              </w:rPr>
              <w:t>Description of content:</w:t>
            </w:r>
          </w:p>
          <w:p w:rsidR="00F85C99" w:rsidRPr="002F6A28" w:rsidP="002F6A28" w14:paraId="4216D03F" w14:textId="52857598">
            <w:pPr>
              <w:spacing w:before="120" w:after="120"/>
              <w:rPr>
                <w:b/>
              </w:rPr>
            </w:pPr>
            <w:r w:rsidRPr="00C379C8">
              <w:t>- Updating the methodology of IN VITRO skin penetration (IVRT) research (taking into account the revision of the international acts of research, bioequivalence of multisource (generic) pharmaceutical product (acts of the Food and Drug Administration (FDA)), as well as the law enforcement practice of authorized bodies of the Member States of the Eurasian Economic Union;</w:t>
            </w:r>
          </w:p>
          <w:p w:rsidR="00FE448B" w:rsidRPr="00C379C8" w:rsidP="002F6A28" w14:paraId="003FE705" w14:textId="77777777">
            <w:pPr>
              <w:spacing w:before="120" w:after="120"/>
            </w:pPr>
            <w:r w:rsidRPr="00C379C8">
              <w:t>- Establishment of the possibility of conducting these studies using an alternative technique</w:t>
            </w:r>
          </w:p>
          <w:p w:rsidR="00FE448B" w:rsidRPr="00C379C8" w:rsidP="002F6A28" w14:paraId="2E8E4E09" w14:textId="77777777">
            <w:pPr>
              <w:spacing w:before="120" w:after="120"/>
            </w:pPr>
            <w:r w:rsidRPr="00C379C8">
              <w:t>- an artificial membrane analog of human skin</w:t>
            </w:r>
          </w:p>
        </w:tc>
      </w:tr>
      <w:tr w14:paraId="4FE6B76A" w14:textId="77777777" w:rsidTr="00DB13FE">
        <w:tblPrEx>
          <w:tblW w:w="5000" w:type="pct"/>
          <w:tblLayout w:type="fixed"/>
          <w:tblLook w:val="0000"/>
        </w:tblPrEx>
        <w:tc>
          <w:tcPr>
            <w:tcW w:w="607" w:type="dxa"/>
          </w:tcPr>
          <w:p w:rsidR="00F85C99" w:rsidRPr="002F6A28" w:rsidP="002F6A28" w14:paraId="567F40DF" w14:textId="77777777">
            <w:pPr>
              <w:spacing w:before="120" w:after="120"/>
              <w:jc w:val="left"/>
              <w:rPr>
                <w:b/>
              </w:rPr>
            </w:pPr>
            <w:r w:rsidRPr="002F6A28">
              <w:rPr>
                <w:b/>
              </w:rPr>
              <w:t>7.</w:t>
            </w:r>
          </w:p>
        </w:tc>
        <w:tc>
          <w:tcPr>
            <w:tcW w:w="8373" w:type="dxa"/>
          </w:tcPr>
          <w:p w:rsidR="00D54AAD" w:rsidP="002F6A28" w14:paraId="6180038C" w14:textId="77777777">
            <w:pPr>
              <w:spacing w:before="120" w:after="120"/>
            </w:pPr>
            <w:r w:rsidRPr="002F6A28">
              <w:rPr>
                <w:b/>
              </w:rPr>
              <w:t>Objective and rationale, including the nature of urgent problems where applicable:</w:t>
            </w:r>
            <w:r w:rsidRPr="00C379C8" w:rsidR="00EE3A11">
              <w:t xml:space="preserve"> </w:t>
            </w:r>
          </w:p>
          <w:p w:rsidR="00F85C99" w:rsidRPr="002F6A28" w:rsidP="002F6A28" w14:paraId="6AE8963B" w14:textId="64FD38FC">
            <w:pPr>
              <w:spacing w:before="120" w:after="120"/>
              <w:rPr>
                <w:b/>
              </w:rPr>
            </w:pPr>
            <w:r w:rsidRPr="00C379C8">
              <w:t>- protection of the patient's life and health (as an end user of medicines);</w:t>
            </w:r>
          </w:p>
          <w:p w:rsidR="00EE3A11" w:rsidRPr="00C379C8" w:rsidP="002F6A28" w14:paraId="77D852DC" w14:textId="77777777">
            <w:pPr>
              <w:spacing w:before="120" w:after="120"/>
            </w:pPr>
            <w:r w:rsidRPr="00C379C8">
              <w:t>- protection of the interests of the healthcare system;</w:t>
            </w:r>
          </w:p>
          <w:p w:rsidR="00EE3A11" w:rsidRPr="00C379C8" w:rsidP="002F6A28" w14:paraId="40EFC4D2" w14:textId="77777777">
            <w:pPr>
              <w:spacing w:before="120" w:after="120"/>
            </w:pPr>
            <w:r w:rsidRPr="00C379C8">
              <w:t>- protection of the interests of manufacturers of multisource (generic) pharmaceutical product,</w:t>
            </w:r>
          </w:p>
          <w:p w:rsidR="00EE3A11" w:rsidRPr="00C379C8" w:rsidP="002F6A28" w14:paraId="495E92B7" w14:textId="77777777">
            <w:pPr>
              <w:spacing w:before="120" w:after="120"/>
            </w:pPr>
            <w:r w:rsidRPr="00C379C8">
              <w:t>- protection of the interests of research organizations conducting clinical (bioequivalent) research;</w:t>
            </w:r>
          </w:p>
          <w:p w:rsidR="00EE3A11" w:rsidRPr="00C379C8" w:rsidP="002F6A28" w14:paraId="4C2F5BEF" w14:textId="77777777">
            <w:pPr>
              <w:spacing w:before="120" w:after="120"/>
            </w:pPr>
            <w:r w:rsidRPr="00C379C8">
              <w:t>- protection of the interests of authorized bodies (expert organizations) carried out the procedure for assessment of the registration dossier of a medicinal product from the standpoint of proving its safety and compliance with a given quality standard</w:t>
            </w:r>
          </w:p>
        </w:tc>
      </w:tr>
      <w:tr w14:paraId="5E529AA8" w14:textId="77777777" w:rsidTr="00DB13FE">
        <w:tblPrEx>
          <w:tblW w:w="5000" w:type="pct"/>
          <w:tblLayout w:type="fixed"/>
          <w:tblLook w:val="0000"/>
        </w:tblPrEx>
        <w:tc>
          <w:tcPr>
            <w:tcW w:w="607" w:type="dxa"/>
          </w:tcPr>
          <w:p w:rsidR="00F85C99" w:rsidRPr="002F6A28" w:rsidP="009E75ED" w14:paraId="6117444F" w14:textId="77777777">
            <w:pPr>
              <w:spacing w:before="120" w:after="120"/>
              <w:jc w:val="left"/>
              <w:rPr>
                <w:b/>
              </w:rPr>
            </w:pPr>
            <w:r w:rsidRPr="002F6A28">
              <w:rPr>
                <w:b/>
              </w:rPr>
              <w:t>8.</w:t>
            </w:r>
          </w:p>
        </w:tc>
        <w:tc>
          <w:tcPr>
            <w:tcW w:w="8373" w:type="dxa"/>
          </w:tcPr>
          <w:p w:rsidR="000C3B6C" w:rsidRPr="00EC00D2" w:rsidP="007F13E8" w14:paraId="54A46CA1" w14:textId="77777777">
            <w:pPr>
              <w:spacing w:before="120" w:after="120"/>
              <w:rPr>
                <w:bCs/>
              </w:rPr>
            </w:pPr>
            <w:r w:rsidRPr="002F6A28">
              <w:rPr>
                <w:b/>
              </w:rPr>
              <w:t>Relevant documents:</w:t>
            </w:r>
            <w:r w:rsidRPr="002F6A28" w:rsidR="00EE3A11">
              <w:t xml:space="preserve"> </w:t>
            </w:r>
          </w:p>
          <w:p w:rsidR="00EE3A11" w:rsidRPr="002F6A28" w:rsidP="007F13E8" w14:paraId="42E845D6" w14:textId="77777777">
            <w:pPr>
              <w:spacing w:before="120" w:after="120"/>
            </w:pPr>
            <w:r w:rsidRPr="002F6A28">
              <w:t>Draft amendments to the Rules for Conducting Bioequivalence Research of Medicines in the Eurasian Economic Union</w:t>
            </w:r>
          </w:p>
          <w:p w:rsidR="00EE3A11" w:rsidRPr="002F6A28" w:rsidP="007F13E8" w14:paraId="63CC0B6A" w14:textId="77777777">
            <w:pPr>
              <w:spacing w:before="120" w:after="120"/>
            </w:pPr>
            <w:hyperlink r:id="rId6" w:history="1">
              <w:r w:rsidRPr="002F6A28">
                <w:rPr>
                  <w:color w:val="0000FF"/>
                  <w:u w:val="single"/>
                </w:rPr>
                <w:t>https://regulation.eaeunion.org/orv/3162/</w:t>
              </w:r>
            </w:hyperlink>
          </w:p>
          <w:p w:rsidR="00EE3A11" w:rsidRPr="002F6A28" w:rsidP="007F13E8" w14:paraId="25DED832" w14:textId="77777777">
            <w:pPr>
              <w:spacing w:before="120" w:after="120"/>
            </w:pPr>
            <w:r w:rsidRPr="002F6A28">
              <w:t>Decision of the Council of the Eurasian Economic Commission No. 85, November 3, 2016</w:t>
            </w:r>
          </w:p>
          <w:p w:rsidR="00EE3A11" w:rsidRPr="002F6A28" w:rsidP="007F13E8" w14:paraId="7118C536" w14:textId="77777777">
            <w:pPr>
              <w:spacing w:before="120" w:after="120"/>
            </w:pPr>
            <w:hyperlink r:id="rId7" w:history="1">
              <w:r w:rsidRPr="002F6A28">
                <w:rPr>
                  <w:color w:val="0000FF"/>
                  <w:u w:val="single"/>
                </w:rPr>
                <w:t>https://docs.eaeunion.org/documents/306/2592/</w:t>
              </w:r>
            </w:hyperlink>
          </w:p>
        </w:tc>
      </w:tr>
      <w:tr w14:paraId="38D63FCF" w14:textId="77777777" w:rsidTr="00DB13FE">
        <w:tblPrEx>
          <w:tblW w:w="5000" w:type="pct"/>
          <w:tblLayout w:type="fixed"/>
          <w:tblLook w:val="0000"/>
        </w:tblPrEx>
        <w:tc>
          <w:tcPr>
            <w:tcW w:w="607" w:type="dxa"/>
          </w:tcPr>
          <w:p w:rsidR="00EE3A11" w:rsidRPr="002F6A28" w:rsidP="002F6A28" w14:paraId="22040A8E" w14:textId="77777777">
            <w:pPr>
              <w:spacing w:before="120" w:after="120"/>
              <w:jc w:val="left"/>
              <w:rPr>
                <w:b/>
              </w:rPr>
            </w:pPr>
            <w:r w:rsidRPr="002F6A28">
              <w:rPr>
                <w:b/>
              </w:rPr>
              <w:t>9.</w:t>
            </w:r>
          </w:p>
        </w:tc>
        <w:tc>
          <w:tcPr>
            <w:tcW w:w="8373" w:type="dxa"/>
          </w:tcPr>
          <w:p w:rsidR="00EE3A11" w:rsidRPr="002F6A28" w:rsidP="008953C4" w14:paraId="1015B62A" w14:textId="77777777">
            <w:pPr>
              <w:spacing w:before="120" w:after="120"/>
            </w:pPr>
            <w:r w:rsidRPr="002F6A28">
              <w:rPr>
                <w:b/>
              </w:rPr>
              <w:t>Proposed date of adoption:</w:t>
            </w:r>
            <w:r w:rsidRPr="00C379C8">
              <w:t xml:space="preserve"> To be determined</w:t>
            </w:r>
          </w:p>
          <w:p w:rsidR="00EE3A11" w:rsidRPr="002F6A28" w:rsidP="008953C4" w14:paraId="2BFA3529" w14:textId="77777777">
            <w:pPr>
              <w:spacing w:after="120"/>
            </w:pPr>
            <w:r w:rsidRPr="002F6A28">
              <w:rPr>
                <w:b/>
              </w:rPr>
              <w:t>Proposed date of entry into force:</w:t>
            </w:r>
            <w:r w:rsidRPr="00C379C8">
              <w:t xml:space="preserve"> To be determined</w:t>
            </w:r>
          </w:p>
        </w:tc>
      </w:tr>
      <w:tr w14:paraId="008D70EC" w14:textId="77777777" w:rsidTr="00DB13FE">
        <w:tblPrEx>
          <w:tblW w:w="5000" w:type="pct"/>
          <w:tblLayout w:type="fixed"/>
          <w:tblLook w:val="0000"/>
        </w:tblPrEx>
        <w:tc>
          <w:tcPr>
            <w:tcW w:w="607" w:type="dxa"/>
            <w:tcBorders>
              <w:bottom w:val="double" w:sz="4" w:space="0" w:color="auto"/>
            </w:tcBorders>
          </w:tcPr>
          <w:p w:rsidR="00F85C99" w:rsidRPr="002F6A28" w:rsidP="002F6A28" w14:paraId="0E5AC0D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AA4CD6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F67AA7A" w14:textId="77777777">
            <w:pPr>
              <w:spacing w:before="120" w:after="120"/>
              <w:rPr>
                <w:bCs/>
              </w:rPr>
            </w:pPr>
            <w:r w:rsidRPr="002F6A28">
              <w:rPr>
                <w:b/>
              </w:rPr>
              <w:t>Final date for comments:</w:t>
            </w:r>
            <w:r w:rsidRPr="00C379C8" w:rsidR="00EE3A11">
              <w:t xml:space="preserve"> 13 September 2025</w:t>
            </w:r>
          </w:p>
          <w:p w:rsidR="000C3B6C" w:rsidRPr="00E3324D" w:rsidP="000C3B6C" w14:paraId="3703D28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8B148F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448C1C3" w14:textId="77777777">
            <w:r w:rsidRPr="00CE6C29">
              <w:t>Eurasian Economic Commission</w:t>
            </w:r>
          </w:p>
          <w:p w:rsidR="00CE6C29" w:rsidRPr="00CE6C29" w:rsidP="000C3B6C" w14:paraId="663E18C0" w14:textId="77777777">
            <w:r w:rsidRPr="00CE6C29">
              <w:t>Department for Technical Regulation and Accreditation</w:t>
            </w:r>
          </w:p>
          <w:p w:rsidR="00CE6C29" w:rsidRPr="00CE6C29" w:rsidP="000C3B6C" w14:paraId="77485F74" w14:textId="77777777">
            <w:r w:rsidRPr="00CE6C29">
              <w:t>Tel: +7(495) 669-24-00</w:t>
            </w:r>
          </w:p>
          <w:p w:rsidR="00CE6C29" w:rsidRPr="00CE6C29" w:rsidP="000C3B6C" w14:paraId="2E82DFF3" w14:textId="77777777">
            <w:r w:rsidRPr="00CE6C29">
              <w:t>Fax: +7(495) 669-24-15</w:t>
            </w:r>
          </w:p>
          <w:p w:rsidR="00CE6C29" w:rsidRPr="00CE6C29" w:rsidP="000C3B6C" w14:paraId="6DD63C06" w14:textId="77777777">
            <w:r w:rsidRPr="00CE6C29">
              <w:t xml:space="preserve">E-mail: </w:t>
            </w:r>
            <w:hyperlink r:id="rId8" w:history="1">
              <w:r w:rsidRPr="00CE6C29">
                <w:rPr>
                  <w:color w:val="0000FF"/>
                  <w:u w:val="single"/>
                </w:rPr>
                <w:t>dept_techregulation@eurasiancommission.org</w:t>
              </w:r>
            </w:hyperlink>
          </w:p>
          <w:p w:rsidR="00CE6C29" w:rsidRPr="00CE6C29" w:rsidP="000C3B6C" w14:paraId="4EC9AEB6" w14:textId="77777777">
            <w:r w:rsidRPr="00CE6C29">
              <w:t>Wehsite: www.eurasiancommission.org</w:t>
            </w:r>
          </w:p>
          <w:p w:rsidR="00CE6C29" w:rsidRPr="00CE6C29" w:rsidP="000C3B6C" w14:paraId="2A4051C3" w14:textId="77777777">
            <w:pPr>
              <w:spacing w:after="120"/>
            </w:pPr>
            <w:r w:rsidRPr="00CE6C29">
              <w:t>httns://docs.eaeunion.org/ru-ru</w:t>
            </w:r>
          </w:p>
        </w:tc>
      </w:tr>
    </w:tbl>
    <w:p w:rsidR="00EE3A11" w:rsidRPr="002F6A28" w:rsidP="00887259" w14:paraId="4D31C15C"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5A424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72220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88CA8B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A16686" w14:textId="77777777">
    <w:pPr>
      <w:pStyle w:val="Header"/>
      <w:pBdr>
        <w:bottom w:val="single" w:sz="4" w:space="1" w:color="auto"/>
      </w:pBdr>
      <w:tabs>
        <w:tab w:val="clear" w:pos="4513"/>
        <w:tab w:val="clear" w:pos="9027"/>
      </w:tabs>
      <w:jc w:val="center"/>
    </w:pPr>
    <w:r w:rsidRPr="002F6A28">
      <w:t>tbtSymbol</w:t>
    </w:r>
  </w:p>
  <w:p w:rsidR="009239F7" w:rsidRPr="002F6A28" w:rsidP="009239F7" w14:paraId="12E72402" w14:textId="77777777">
    <w:pPr>
      <w:pStyle w:val="Header"/>
      <w:pBdr>
        <w:bottom w:val="single" w:sz="4" w:space="1" w:color="auto"/>
      </w:pBdr>
      <w:tabs>
        <w:tab w:val="clear" w:pos="4513"/>
        <w:tab w:val="clear" w:pos="9027"/>
      </w:tabs>
      <w:jc w:val="center"/>
    </w:pPr>
  </w:p>
  <w:p w:rsidR="009239F7" w:rsidRPr="002F6A28" w:rsidP="009239F7" w14:paraId="485D27D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8CDFEA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BD55BD" w14:textId="77777777">
    <w:pPr>
      <w:pStyle w:val="Header"/>
      <w:pBdr>
        <w:bottom w:val="single" w:sz="4" w:space="1" w:color="auto"/>
      </w:pBdr>
      <w:tabs>
        <w:tab w:val="clear" w:pos="4513"/>
        <w:tab w:val="clear" w:pos="9027"/>
      </w:tabs>
      <w:jc w:val="center"/>
    </w:pPr>
    <w:bookmarkStart w:id="0" w:name="spsSymbolHeader"/>
    <w:r w:rsidRPr="002F6A28">
      <w:t>G/TBT/N/RUS/175</w:t>
    </w:r>
    <w:bookmarkEnd w:id="0"/>
  </w:p>
  <w:p w:rsidR="009239F7" w:rsidRPr="002F6A28" w:rsidP="009239F7" w14:paraId="708F23D3" w14:textId="77777777">
    <w:pPr>
      <w:pStyle w:val="Header"/>
      <w:pBdr>
        <w:bottom w:val="single" w:sz="4" w:space="1" w:color="auto"/>
      </w:pBdr>
      <w:tabs>
        <w:tab w:val="clear" w:pos="4513"/>
        <w:tab w:val="clear" w:pos="9027"/>
      </w:tabs>
      <w:jc w:val="center"/>
    </w:pPr>
  </w:p>
  <w:p w:rsidR="009239F7" w:rsidRPr="002F6A28" w:rsidP="009239F7" w14:paraId="3E5E52B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397C9B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1EA27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F2E2EC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9C48491" w14:textId="77777777">
          <w:pPr>
            <w:jc w:val="right"/>
            <w:rPr>
              <w:b/>
              <w:color w:val="FF0000"/>
              <w:szCs w:val="16"/>
            </w:rPr>
          </w:pPr>
        </w:p>
      </w:tc>
    </w:tr>
    <w:bookmarkEnd w:id="1"/>
    <w:tr w14:paraId="5A5D6C5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94A94E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D3E4EAE" w14:textId="77777777">
          <w:pPr>
            <w:jc w:val="right"/>
            <w:rPr>
              <w:b/>
              <w:szCs w:val="16"/>
            </w:rPr>
          </w:pPr>
        </w:p>
      </w:tc>
    </w:tr>
    <w:tr w14:paraId="4BE6265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D11F44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4D57494" w14:textId="77777777">
          <w:pPr>
            <w:jc w:val="right"/>
            <w:rPr>
              <w:b/>
              <w:szCs w:val="16"/>
            </w:rPr>
          </w:pPr>
          <w:bookmarkStart w:id="2" w:name="bmkSymbols"/>
          <w:r w:rsidRPr="002F6A28">
            <w:rPr>
              <w:b/>
              <w:szCs w:val="16"/>
            </w:rPr>
            <w:t>G/TBT/N/RUS/175</w:t>
          </w:r>
          <w:bookmarkEnd w:id="2"/>
        </w:p>
      </w:tc>
    </w:tr>
    <w:tr w14:paraId="71A03F6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75A7408" w14:textId="77777777"/>
      </w:tc>
      <w:tc>
        <w:tcPr>
          <w:tcW w:w="5448" w:type="dxa"/>
          <w:gridSpan w:val="2"/>
          <w:shd w:val="clear" w:color="auto" w:fill="FFFFFF"/>
          <w:tcMar>
            <w:left w:w="108" w:type="dxa"/>
            <w:right w:w="108" w:type="dxa"/>
          </w:tcMar>
          <w:vAlign w:val="center"/>
        </w:tcPr>
        <w:p w:rsidR="00ED54E0" w:rsidRPr="009239F7" w:rsidP="00B801E9" w14:paraId="4422443A" w14:textId="77777777">
          <w:pPr>
            <w:jc w:val="right"/>
            <w:rPr>
              <w:szCs w:val="16"/>
            </w:rPr>
          </w:pPr>
          <w:bookmarkStart w:id="3" w:name="spsDateDistribution"/>
          <w:bookmarkStart w:id="4" w:name="bmkDate"/>
          <w:r w:rsidRPr="009239F7">
            <w:rPr>
              <w:szCs w:val="16"/>
            </w:rPr>
            <w:t>1 September 2025</w:t>
          </w:r>
          <w:bookmarkEnd w:id="3"/>
          <w:bookmarkEnd w:id="4"/>
        </w:p>
      </w:tc>
    </w:tr>
    <w:tr w14:paraId="1C988F7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BAE616A" w14:textId="77777777">
          <w:pPr>
            <w:jc w:val="left"/>
            <w:rPr>
              <w:b/>
            </w:rPr>
          </w:pPr>
          <w:bookmarkStart w:id="5" w:name="bmkSerial"/>
          <w:r>
            <w:rPr>
              <w:b w:val="0"/>
              <w:color w:val="FF0000"/>
            </w:rPr>
            <w:t>(25-5459)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BDBDC2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6D5957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3C3B76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65F734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AD33A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94465417">
    <w:abstractNumId w:val="9"/>
  </w:num>
  <w:num w:numId="2" w16cid:durableId="120997428">
    <w:abstractNumId w:val="7"/>
  </w:num>
  <w:num w:numId="3" w16cid:durableId="1004356845">
    <w:abstractNumId w:val="6"/>
  </w:num>
  <w:num w:numId="4" w16cid:durableId="866063093">
    <w:abstractNumId w:val="5"/>
  </w:num>
  <w:num w:numId="5" w16cid:durableId="861867545">
    <w:abstractNumId w:val="4"/>
  </w:num>
  <w:num w:numId="6" w16cid:durableId="1429472928">
    <w:abstractNumId w:val="12"/>
  </w:num>
  <w:num w:numId="7" w16cid:durableId="1536505621">
    <w:abstractNumId w:val="11"/>
  </w:num>
  <w:num w:numId="8" w16cid:durableId="758406192">
    <w:abstractNumId w:val="10"/>
  </w:num>
  <w:num w:numId="9" w16cid:durableId="1265919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3101977">
    <w:abstractNumId w:val="13"/>
  </w:num>
  <w:num w:numId="11" w16cid:durableId="1137991139">
    <w:abstractNumId w:val="8"/>
  </w:num>
  <w:num w:numId="12" w16cid:durableId="987396347">
    <w:abstractNumId w:val="3"/>
  </w:num>
  <w:num w:numId="13" w16cid:durableId="1542790948">
    <w:abstractNumId w:val="2"/>
  </w:num>
  <w:num w:numId="14" w16cid:durableId="2145660108">
    <w:abstractNumId w:val="1"/>
  </w:num>
  <w:num w:numId="15" w16cid:durableId="1535650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3D63"/>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C73DF"/>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277C9"/>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4AA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92984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gostinfo.ru" TargetMode="External" /><Relationship Id="rId6" Type="http://schemas.openxmlformats.org/officeDocument/2006/relationships/hyperlink" Target="https://regulation.eaeunion.org/orv/3162/" TargetMode="External" /><Relationship Id="rId7" Type="http://schemas.openxmlformats.org/officeDocument/2006/relationships/hyperlink" Target="https://docs.eaeunion.org/documents/306/2592/" TargetMode="External" /><Relationship Id="rId8" Type="http://schemas.openxmlformats.org/officeDocument/2006/relationships/hyperlink" Target="mailto:dept_techregulation@eurasiancommission.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2025-09-01T08:34:00Z</dcterms:created>
  <dcterms:modified xsi:type="dcterms:W3CDTF">2025-09-01T08:35:00Z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