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7"/>
        <w:autoSpaceDN w:val="0"/>
        <w:spacing w:line="560" w:lineRule="exact"/>
        <w:jc w:val="center"/>
        <w:rPr>
          <w:rFonts w:ascii="方正小标宋_GBK" w:eastAsia="方正小标宋_GBK" w:hint="eastAsia"/>
          <w:sz w:val="48"/>
          <w:szCs w:val="48"/>
        </w:rPr>
      </w:pPr>
    </w:p>
    <w:p>
      <w:pPr>
        <w:pStyle w:val="17"/>
        <w:autoSpaceDN w:val="0"/>
        <w:spacing w:line="560" w:lineRule="exact"/>
        <w:jc w:val="center"/>
        <w:rPr>
          <w:rFonts w:ascii="方正小标宋_GBK" w:eastAsia="方正小标宋_GBK" w:hint="eastAsia"/>
          <w:sz w:val="44"/>
          <w:szCs w:val="44"/>
        </w:rPr>
      </w:pPr>
      <w:r>
        <w:rPr>
          <w:rFonts w:ascii="方正小标宋_GBK" w:eastAsia="方正小标宋_GBK" w:hint="eastAsia"/>
          <w:sz w:val="44"/>
          <w:szCs w:val="44"/>
        </w:rPr>
        <w:t>长春海关2019年工作计划</w:t>
      </w:r>
    </w:p>
    <w:p>
      <w:pPr>
        <w:pStyle w:val="17"/>
        <w:autoSpaceDN w:val="0"/>
        <w:spacing w:line="560" w:lineRule="exact"/>
        <w:ind w:firstLineChars="200" w:firstLine="720"/>
        <w:rPr>
          <w:rFonts w:ascii="方正仿宋_GBK" w:eastAsia="方正仿宋_GBK" w:hint="eastAsia"/>
          <w:sz w:val="36"/>
          <w:szCs w:val="36"/>
        </w:rPr>
      </w:pPr>
    </w:p>
    <w:p>
      <w:pPr>
        <w:pStyle w:val="17"/>
        <w:autoSpaceDN w:val="0"/>
        <w:spacing w:line="560" w:lineRule="exact"/>
        <w:ind w:firstLineChars="200" w:firstLine="640"/>
        <w:rPr>
          <w:rFonts w:ascii="方正黑体_GBK" w:eastAsia="方正黑体_GBK"/>
          <w:sz w:val="32"/>
          <w:szCs w:val="32"/>
        </w:rPr>
      </w:pPr>
      <w:r>
        <w:rPr>
          <w:rFonts w:ascii="方正仿宋_GBK" w:eastAsia="方正仿宋_GBK" w:hint="eastAsia"/>
          <w:sz w:val="32"/>
          <w:szCs w:val="32"/>
        </w:rPr>
        <w:t>2019年是新中国成立70周年，是新时代全面深化改革开放的开局之年，也是全面建成小康社会的关键一年。根据海关总署的总体部署，今年长春海关工作的总体思路是：</w:t>
      </w:r>
      <w:r>
        <w:rPr>
          <w:rFonts w:ascii="方正黑体_GBK" w:eastAsia="方正黑体_GBK" w:hint="eastAsia"/>
          <w:sz w:val="32"/>
          <w:szCs w:val="32"/>
        </w:rPr>
        <w:t>深入学习贯彻习近平新时代中国特色社会主义思想和党的十九大、十九届二中、三中全会精神，牢固树立“四个意识”，坚定“四个自信”，坚决做到“两个维护”；马上就办、真抓实干，认真落实中央经济工作会议和全国海关工作会议、全面从严治党工作会议部署，锲而不舍、一以贯之，锻造“政治坚定、业务精通、令行禁止、担当奉献”的准军事化纪律部队，全力推进政治建关、改革强关、依法把关、科技兴关、从严治关，以优异成绩迎接中华人民共和国成立70周年。</w:t>
      </w:r>
    </w:p>
    <w:p>
      <w:pPr>
        <w:pStyle w:val="17"/>
        <w:autoSpaceDN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重点做好以下工作：</w:t>
      </w:r>
    </w:p>
    <w:p>
      <w:pPr>
        <w:pStyle w:val="18"/>
        <w:spacing w:line="560" w:lineRule="exact"/>
        <w:ind w:firstLineChars="200" w:firstLine="640"/>
        <w:rPr>
          <w:rFonts w:ascii="方正楷体_GBK" w:eastAsia="方正楷体_GBK" w:hint="eastAsia"/>
          <w:b/>
          <w:sz w:val="32"/>
          <w:szCs w:val="32"/>
        </w:rPr>
      </w:pPr>
      <w:r>
        <w:rPr>
          <w:rFonts w:ascii="方正楷体_GBK" w:eastAsia="方正楷体_GBK" w:hint="eastAsia"/>
          <w:b/>
          <w:sz w:val="32"/>
          <w:szCs w:val="32"/>
        </w:rPr>
        <w:t>（一）以党的政治建设为统领，推进政治建关。</w:t>
      </w:r>
    </w:p>
    <w:p>
      <w:pPr>
        <w:pStyle w:val="23"/>
        <w:widowControl/>
        <w:shd w:val="clear" w:color="auto" w:fill="FFFFFF"/>
        <w:adjustRightInd w:val="0"/>
        <w:snapToGrid w:val="0"/>
        <w:spacing w:line="560" w:lineRule="exact"/>
        <w:ind w:firstLine="645"/>
        <w:rPr>
          <w:rFonts w:ascii="方正仿宋_GBK" w:eastAsia="方正仿宋_GBK" w:cs="方正仿宋_GBK" w:hint="eastAsia"/>
          <w:kern w:val="0"/>
          <w:sz w:val="32"/>
          <w:szCs w:val="32"/>
        </w:rPr>
      </w:pPr>
      <w:r>
        <w:rPr>
          <w:rFonts w:ascii="方正仿宋_GBK" w:eastAsia="方正仿宋_GBK" w:hint="eastAsia"/>
          <w:b/>
          <w:bCs/>
          <w:sz w:val="32"/>
          <w:szCs w:val="32"/>
        </w:rPr>
        <w:t>必须旗帜鲜明讲政治。</w:t>
      </w:r>
      <w:r>
        <w:rPr>
          <w:rFonts w:ascii="方正仿宋_GBK" w:eastAsia="方正仿宋_GBK" w:hint="eastAsia"/>
          <w:sz w:val="32"/>
          <w:szCs w:val="32"/>
        </w:rPr>
        <w:t>要进一步牢固树立“四个意识”，坚定“四个自信”，坚决做到“两个维护”。用习近平新时代中国特色社会主义思想武装头脑指导实践，切实学深悟透、弄懂做实。坚持边实践边学习，以新思想引领新实践，把学习成果转化为坚定理想信念、砥砺党性心性、忠诚履职尽责的思想自觉和实际行动。各级领导干部</w:t>
      </w:r>
      <w:r>
        <w:rPr>
          <w:rFonts w:ascii="方正仿宋_GBK" w:eastAsia="方正仿宋_GBK" w:cs="方正仿宋_GBK" w:hint="eastAsia"/>
          <w:kern w:val="0"/>
          <w:sz w:val="32"/>
          <w:szCs w:val="32"/>
        </w:rPr>
        <w:t>必须以更高标准、更严要求，</w:t>
      </w:r>
      <w:r>
        <w:rPr>
          <w:rFonts w:ascii="方正仿宋_GBK" w:eastAsia="方正仿宋_GBK" w:hint="eastAsia"/>
          <w:kern w:val="0"/>
          <w:sz w:val="32"/>
          <w:szCs w:val="32"/>
        </w:rPr>
        <w:t>充分发挥党的政治建设的统领作用，</w:t>
      </w:r>
      <w:r>
        <w:rPr>
          <w:rFonts w:ascii="方正仿宋_GBK" w:eastAsia="方正仿宋_GBK" w:cs="方正仿宋_GBK" w:hint="eastAsia"/>
          <w:kern w:val="0"/>
          <w:sz w:val="32"/>
          <w:szCs w:val="32"/>
        </w:rPr>
        <w:t>推动全面从严治党向纵深发展、向基层延伸。</w:t>
      </w:r>
    </w:p>
    <w:p>
      <w:pPr>
        <w:pStyle w:val="22"/>
        <w:widowControl w:val="0"/>
        <w:adjustRightInd w:val="0"/>
        <w:snapToGrid w:val="0"/>
        <w:spacing w:line="560" w:lineRule="exact"/>
        <w:ind w:firstLineChars="200" w:firstLine="640"/>
        <w:rPr>
          <w:rFonts w:ascii="方正仿宋_GBK" w:hint="eastAsia"/>
          <w:b/>
          <w:bCs/>
          <w:szCs w:val="32"/>
        </w:rPr>
      </w:pPr>
      <w:r>
        <w:rPr>
          <w:rFonts w:ascii="方正仿宋_GBK" w:hint="eastAsia"/>
          <w:b/>
          <w:bCs/>
          <w:szCs w:val="32"/>
        </w:rPr>
        <w:t>要坚决贯彻落实党中央重大决策部署。</w:t>
      </w:r>
      <w:r>
        <w:rPr>
          <w:rFonts w:ascii="方正仿宋_GBK" w:hint="eastAsia"/>
          <w:szCs w:val="32"/>
        </w:rPr>
        <w:t>把贯彻落实习近平总书记重要指示批示精神作为践行“两个维护”的实际行动。要以形势分析和工作督查例会为抓手，全力做好党中央重大决策部署的督办落实工作，第一时间部署研究，态度坚决、行动迅速，确保事事有着落，件件有回音。要持续高压严打，加强与公安、生态环境、市场监管等执法部门联系配合，深入开展“蓝天2019”专项行动，严厉打击“洋垃圾”走私，全力保障国家生态安全和人民群众身体健康。要加强全链条管控，以最严格措施强化重点疫病疫情防控，坚决打好口岸非洲猪瘟防控攻坚战。要统筹开展精准扶贫，助力打赢脱贫攻坚战。</w:t>
      </w:r>
    </w:p>
    <w:p>
      <w:pPr>
        <w:pStyle w:val="42"/>
        <w:spacing w:line="560" w:lineRule="exact"/>
        <w:ind w:firstLine="640"/>
        <w:rPr>
          <w:rFonts w:hint="eastAsia"/>
          <w:sz w:val="32"/>
          <w:szCs w:val="32"/>
        </w:rPr>
      </w:pPr>
      <w:r>
        <w:rPr>
          <w:rFonts w:ascii="方正仿宋_GBK" w:eastAsia="方正仿宋_GBK" w:hint="eastAsia"/>
          <w:b/>
          <w:bCs/>
          <w:sz w:val="32"/>
          <w:szCs w:val="32"/>
        </w:rPr>
        <w:t>严明政治纪律和政治规矩。</w:t>
      </w:r>
      <w:r>
        <w:rPr>
          <w:rFonts w:ascii="方正仿宋_GBK" w:eastAsia="方正仿宋_GBK" w:hint="eastAsia"/>
          <w:sz w:val="32"/>
          <w:szCs w:val="32"/>
        </w:rPr>
        <w:t>加强政治机关建设，严格执行新形势下党内政治生活若干准则，把守纪律讲规矩摆在更加重要的位置。严格执行民主集中制，发展积极健康的党内政治文化。严格执行中央八项规定，认真落实重大问题请示报告制度和领导干部个人事项申报制度。加强对违反政治纪律和政治规矩风险隐患的分析研判，发现问题及时采取措施。驰而不息纠正“四风”，不断巩固集中整治形式主义和官僚主义成果，继续深入开展对“小山头”、“小圈子”、匿名诬告等突出问题的治理</w:t>
      </w:r>
      <w:r>
        <w:rPr>
          <w:rFonts w:ascii="方正仿宋_GBK" w:eastAsia="方正仿宋_GBK" w:cs="方正仿宋_GBK" w:hint="eastAsia"/>
          <w:sz w:val="32"/>
          <w:szCs w:val="32"/>
        </w:rPr>
        <w:t>，切实营造风清气正的政治生态和团结和谐的工作环境。</w:t>
      </w:r>
    </w:p>
    <w:p>
      <w:pPr>
        <w:pStyle w:val="21"/>
        <w:snapToGrid w:val="0"/>
        <w:spacing w:line="560" w:lineRule="exact"/>
        <w:rPr>
          <w:rFonts w:ascii="方正仿宋_GBK" w:eastAsia="方正仿宋_GBK"/>
        </w:rPr>
      </w:pPr>
      <w:r>
        <w:rPr>
          <w:rFonts w:ascii="方正仿宋_GBK" w:eastAsia="方正仿宋_GBK" w:hint="eastAsia"/>
          <w:b/>
          <w:bCs/>
        </w:rPr>
        <w:t>　　继续扎实推进巡视整改。</w:t>
      </w:r>
      <w:r>
        <w:rPr>
          <w:rFonts w:ascii="方正仿宋_GBK" w:eastAsia="方正仿宋_GBK" w:hint="eastAsia"/>
        </w:rPr>
        <w:t>要把巡视整改作为一项长期任务，持之以恒、常抓不懈。要强化问题导向，对问题再梳理、再聚焦、再分析，明确</w:t>
      </w:r>
      <w:r>
        <w:rPr>
          <w:rFonts w:ascii="方正仿宋_GBK" w:eastAsia="方正仿宋_GBK" w:hint="eastAsia"/>
          <w:color w:val="000000"/>
        </w:rPr>
        <w:t>具体整改目标、整改措施、责任部门、整改要求和完成时限，严肃认真，集中精力，扎扎实实地推进整改任务落实，</w:t>
      </w:r>
      <w:r>
        <w:rPr>
          <w:rFonts w:ascii="方正仿宋_GBK" w:eastAsia="方正仿宋_GBK" w:hint="eastAsia"/>
        </w:rPr>
        <w:t>不断提高整改成效。要深化标本兼治，通过建章立制解决好根本问题，及时把有效的措施固化下来、坚持下去，形成长效机制，以巡视整改推动整体工作提升。</w:t>
      </w:r>
    </w:p>
    <w:p>
      <w:pPr>
        <w:pStyle w:val="19"/>
        <w:spacing w:line="560" w:lineRule="exact"/>
        <w:ind w:firstLineChars="200" w:firstLine="640"/>
        <w:rPr>
          <w:rFonts w:ascii="方正楷体_GBK" w:eastAsia="方正楷体_GBK" w:hint="eastAsia"/>
          <w:b/>
          <w:sz w:val="32"/>
          <w:szCs w:val="32"/>
        </w:rPr>
      </w:pPr>
      <w:r>
        <w:rPr>
          <w:rFonts w:ascii="方正楷体_GBK" w:eastAsia="方正楷体_GBK" w:hint="eastAsia"/>
          <w:b/>
          <w:sz w:val="32"/>
          <w:szCs w:val="32"/>
        </w:rPr>
        <w:t>（二）深化机制创新，推进改革强关。</w:t>
      </w:r>
    </w:p>
    <w:p>
      <w:pPr>
        <w:adjustRightInd w:val="0"/>
        <w:snapToGrid w:val="0"/>
        <w:spacing w:line="560" w:lineRule="exact"/>
        <w:ind w:firstLineChars="200" w:firstLine="640"/>
        <w:rPr>
          <w:rFonts w:ascii="方正仿宋_GBK" w:eastAsia="方正仿宋_GBK" w:hint="eastAsia"/>
          <w:bCs/>
          <w:sz w:val="32"/>
          <w:szCs w:val="32"/>
        </w:rPr>
      </w:pPr>
      <w:r>
        <w:rPr>
          <w:rFonts w:ascii="方正仿宋_GBK" w:eastAsia="方正仿宋_GBK" w:hint="eastAsia"/>
          <w:b/>
          <w:bCs/>
          <w:sz w:val="32"/>
          <w:szCs w:val="32"/>
        </w:rPr>
        <w:t>加强综合监管体系建设</w:t>
      </w:r>
      <w:r>
        <w:rPr>
          <w:rFonts w:ascii="方正仿宋_GBK" w:eastAsia="方正仿宋_GBK" w:hint="eastAsia"/>
          <w:bCs/>
          <w:sz w:val="32"/>
          <w:szCs w:val="32"/>
        </w:rPr>
        <w:t>。落实新形势下精准监管、智能监管、有效监管、顺势监管要求，继续推进关区“四个中心”建设，聚焦业务结合部和监管薄弱环节，强化统筹协调和联系配合，构建监管联动机制，全面优化业务管理。加快建立健全科学随机抽查与精准布控协同分工、优势互补的风险统一防控机制，探索建立风险布控、职能监控、现场监管、后续稽（核）查衔接有力、协作顺畅的综合监管体系。</w:t>
      </w:r>
    </w:p>
    <w:p>
      <w:pPr>
        <w:pStyle w:val="24"/>
        <w:adjustRightInd w:val="0"/>
        <w:snapToGrid w:val="0"/>
        <w:spacing w:line="560" w:lineRule="exact"/>
        <w:ind w:firstLine="645"/>
        <w:rPr>
          <w:rFonts w:ascii="方正仿宋_GBK" w:eastAsia="方正仿宋_GBK" w:hint="eastAsia"/>
          <w:bCs/>
          <w:sz w:val="32"/>
          <w:szCs w:val="32"/>
        </w:rPr>
      </w:pPr>
      <w:r>
        <w:rPr>
          <w:rFonts w:ascii="方正仿宋_GBK" w:eastAsia="方正仿宋_GBK" w:hint="eastAsia"/>
          <w:b/>
          <w:bCs/>
          <w:sz w:val="32"/>
          <w:szCs w:val="32"/>
        </w:rPr>
        <w:t>推动实现关检业务深度融合。</w:t>
      </w:r>
      <w:r>
        <w:rPr>
          <w:rFonts w:ascii="方正仿宋_GBK" w:eastAsia="方正仿宋_GBK" w:hint="eastAsia"/>
          <w:bCs/>
          <w:sz w:val="32"/>
          <w:szCs w:val="32"/>
        </w:rPr>
        <w:t>贯彻总署关检业务深度融合要求，整合检验检疫审批业务，统一由原海关审批备案中心实施集约化管理，继续提升“查检合一”效能，积极拓展“多查合一”，将检验检疫业务规则融入风险防控体系，落实统一研判、统一布控，推动实现关检业务事前、事中、事后全流程深度融合。</w:t>
      </w:r>
    </w:p>
    <w:p>
      <w:pPr>
        <w:pStyle w:val="24"/>
        <w:adjustRightInd w:val="0"/>
        <w:snapToGrid w:val="0"/>
        <w:spacing w:line="560" w:lineRule="exact"/>
        <w:ind w:firstLine="645"/>
        <w:rPr>
          <w:rFonts w:ascii="方正仿宋_GBK" w:eastAsia="方正仿宋_GBK" w:hint="eastAsia"/>
          <w:sz w:val="32"/>
          <w:szCs w:val="32"/>
        </w:rPr>
      </w:pPr>
      <w:r>
        <w:rPr>
          <w:rFonts w:ascii="方正仿宋_GBK" w:eastAsia="方正仿宋_GBK" w:hint="eastAsia"/>
          <w:b/>
          <w:bCs/>
          <w:sz w:val="32"/>
          <w:szCs w:val="32"/>
        </w:rPr>
        <w:t>深入推进全国通关一体化改革。</w:t>
      </w:r>
      <w:r>
        <w:rPr>
          <w:rFonts w:ascii="方正仿宋_GBK" w:eastAsia="方正仿宋_GBK" w:hint="eastAsia"/>
          <w:bCs/>
          <w:sz w:val="32"/>
          <w:szCs w:val="32"/>
        </w:rPr>
        <w:t>紧跟全国海关通关一体化改革进程，进一步完善作业流程，实施进口“两步申报”通关模式，实行进境安全风险防范“两段准入”和口岸分类提离。</w:t>
      </w:r>
      <w:r>
        <w:rPr>
          <w:rFonts w:ascii="方正仿宋_GBK" w:eastAsia="方正仿宋_GBK" w:cs="方正仿宋_GBK" w:hint="eastAsia"/>
          <w:sz w:val="32"/>
          <w:szCs w:val="32"/>
        </w:rPr>
        <w:t>全面</w:t>
      </w:r>
      <w:r>
        <w:rPr>
          <w:rFonts w:ascii="方正仿宋_GBK" w:eastAsia="方正仿宋_GBK" w:hint="eastAsia"/>
          <w:sz w:val="32"/>
          <w:szCs w:val="32"/>
        </w:rPr>
        <w:t>提升“单一窗口”应用率，年内实现主要申报业务应用率达到100%。</w:t>
      </w:r>
      <w:r>
        <w:rPr>
          <w:rFonts w:ascii="方正仿宋_GBK" w:eastAsia="方正仿宋_GBK" w:hint="eastAsia"/>
          <w:bCs/>
          <w:sz w:val="32"/>
          <w:szCs w:val="32"/>
        </w:rPr>
        <w:t>深化口岸大通关建设，强化口岸部门和作业单位间协作配合，继续推进跨部门一次性联合检查，</w:t>
      </w:r>
      <w:r>
        <w:rPr>
          <w:rFonts w:ascii="方正仿宋_GBK" w:eastAsia="方正仿宋_GBK" w:hint="eastAsia"/>
          <w:color w:val="000000"/>
          <w:sz w:val="32"/>
          <w:szCs w:val="32"/>
        </w:rPr>
        <w:t>推动口岸安全风险联防联控</w:t>
      </w:r>
      <w:r>
        <w:rPr>
          <w:rFonts w:ascii="方正仿宋_GBK" w:eastAsia="方正仿宋_GBK" w:hint="eastAsia"/>
          <w:sz w:val="32"/>
          <w:szCs w:val="32"/>
        </w:rPr>
        <w:t>。</w:t>
      </w:r>
    </w:p>
    <w:p>
      <w:pPr>
        <w:pStyle w:val="25"/>
        <w:widowControl w:val="0"/>
        <w:adjustRightInd w:val="0"/>
        <w:snapToGrid w:val="0"/>
        <w:spacing w:line="560" w:lineRule="exact"/>
        <w:ind w:firstLineChars="200" w:firstLine="640"/>
        <w:rPr>
          <w:rFonts w:ascii="方正仿宋_GBK" w:cs="方正仿宋简体" w:hint="eastAsia"/>
          <w:bCs/>
          <w:snapToGrid w:val="0"/>
          <w:color w:val="000000"/>
          <w:kern w:val="0"/>
          <w:szCs w:val="32"/>
        </w:rPr>
      </w:pPr>
      <w:r>
        <w:rPr>
          <w:rFonts w:ascii="方正仿宋_GBK" w:hint="eastAsia"/>
          <w:b/>
          <w:szCs w:val="32"/>
        </w:rPr>
        <w:t>促进综保区升级发展。</w:t>
      </w:r>
      <w:r>
        <w:rPr>
          <w:rFonts w:ascii="方正仿宋_GBK" w:hint="eastAsia"/>
          <w:szCs w:val="32"/>
        </w:rPr>
        <w:t>落实国务院关于促进综合保税区高水平开放高质量发展的若干意见，</w:t>
      </w:r>
      <w:r>
        <w:rPr>
          <w:rFonts w:ascii="方正仿宋_GBK" w:hint="eastAsia"/>
          <w:bCs/>
          <w:szCs w:val="32"/>
        </w:rPr>
        <w:t>对综保区开展专题调研，用好用足优惠政策，为政府决策提供参考。</w:t>
      </w:r>
      <w:r>
        <w:rPr>
          <w:rFonts w:ascii="方正仿宋_GBK" w:cs="方正仿宋简体" w:hint="eastAsia"/>
          <w:bCs/>
          <w:snapToGrid w:val="0"/>
          <w:color w:val="000000"/>
          <w:kern w:val="0"/>
          <w:szCs w:val="32"/>
        </w:rPr>
        <w:t>便利企业内销，促进研发创新，推进物流便利化，培育新业态，</w:t>
      </w:r>
      <w:r>
        <w:rPr>
          <w:rFonts w:ascii="方正仿宋_GBK" w:hint="eastAsia"/>
          <w:szCs w:val="32"/>
        </w:rPr>
        <w:t>加大对一般纳税人资格、保税维修、保税研发等监管模式宣传推介力度。继续</w:t>
      </w:r>
      <w:r>
        <w:rPr>
          <w:rFonts w:ascii="方正仿宋_GBK" w:hint="eastAsia"/>
          <w:bCs/>
          <w:szCs w:val="32"/>
        </w:rPr>
        <w:t>做好</w:t>
      </w:r>
      <w:r>
        <w:rPr>
          <w:rFonts w:ascii="方正仿宋_GBK" w:hint="eastAsia"/>
          <w:szCs w:val="32"/>
        </w:rPr>
        <w:t>自贸区海关监管制度创新</w:t>
      </w:r>
      <w:r>
        <w:rPr>
          <w:rFonts w:ascii="方正仿宋_GBK" w:hint="eastAsia"/>
          <w:bCs/>
          <w:szCs w:val="32"/>
        </w:rPr>
        <w:t>改革试点经验复制推广工作，在综保区内率先实现推广应用</w:t>
      </w:r>
      <w:r>
        <w:rPr>
          <w:rFonts w:ascii="方正仿宋_GBK" w:hint="eastAsia"/>
          <w:szCs w:val="32"/>
        </w:rPr>
        <w:t>。</w:t>
      </w:r>
    </w:p>
    <w:p>
      <w:pPr>
        <w:pStyle w:val="25"/>
        <w:widowControl w:val="0"/>
        <w:adjustRightInd w:val="0"/>
        <w:snapToGrid w:val="0"/>
        <w:spacing w:line="560" w:lineRule="exact"/>
        <w:ind w:firstLineChars="200" w:firstLine="640"/>
        <w:rPr>
          <w:rFonts w:ascii="方正仿宋_GBK" w:cs="Arial" w:hint="eastAsia"/>
          <w:bCs/>
          <w:szCs w:val="32"/>
        </w:rPr>
      </w:pPr>
      <w:r>
        <w:rPr>
          <w:rFonts w:ascii="方正仿宋_GBK" w:cs="Arial" w:hint="eastAsia"/>
          <w:b/>
          <w:bCs/>
          <w:szCs w:val="32"/>
        </w:rPr>
        <w:t>进一步优化营商环境。</w:t>
      </w:r>
      <w:r>
        <w:rPr>
          <w:rFonts w:ascii="方正仿宋_GBK" w:cs="Arial" w:hint="eastAsia"/>
          <w:szCs w:val="32"/>
        </w:rPr>
        <w:t>继续深化</w:t>
      </w:r>
      <w:r>
        <w:rPr>
          <w:rFonts w:ascii="方正仿宋_GBK" w:cs="Arial" w:hint="eastAsia"/>
          <w:bCs/>
          <w:szCs w:val="32"/>
        </w:rPr>
        <w:t>“放管服”改革，开展新一轮跨境贸易便利化专项行动，提高进出口货物</w:t>
      </w:r>
      <w:r>
        <w:rPr>
          <w:rFonts w:ascii="方正仿宋_GBK" w:hint="eastAsia"/>
          <w:szCs w:val="32"/>
        </w:rPr>
        <w:t>“提前申报”比例，</w:t>
      </w:r>
      <w:r>
        <w:rPr>
          <w:rFonts w:ascii="方正仿宋_GBK" w:cs="Arial" w:hint="eastAsia"/>
          <w:bCs/>
          <w:szCs w:val="32"/>
        </w:rPr>
        <w:t>推动压缩整体通关时间工作提质增效；进一步推动提效降费，降低进出口环节合规成本，落实精简进出口环节监管证件要求，增强企业获得感。</w:t>
      </w:r>
      <w:r>
        <w:rPr>
          <w:rFonts w:ascii="方正仿宋_GBK" w:hint="eastAsia"/>
          <w:szCs w:val="32"/>
        </w:rPr>
        <w:t>深入开展“减证便民”，</w:t>
      </w:r>
      <w:r>
        <w:rPr>
          <w:rFonts w:ascii="方正仿宋_GBK" w:hint="eastAsia"/>
          <w:bCs/>
          <w:snapToGrid w:val="0"/>
          <w:color w:val="000000"/>
          <w:szCs w:val="32"/>
        </w:rPr>
        <w:t>深化统一社会信用代码和“多证合一”、“证照分离”改革</w:t>
      </w:r>
      <w:r>
        <w:rPr>
          <w:rFonts w:ascii="方正仿宋_GBK" w:hint="eastAsia"/>
          <w:szCs w:val="32"/>
        </w:rPr>
        <w:t>。落实总署关于行政审批清单、权责清单、政务服务清单、“互联网+监管”清单、市场准入负面清单管理等部署。推动“双随机、一公开”向全执法领域拓展，实现全链条管理“选、查、处”分离。加大“</w:t>
      </w:r>
      <w:r>
        <w:rPr>
          <w:rFonts w:ascii="方正仿宋_GBK"/>
          <w:szCs w:val="32"/>
        </w:rPr>
        <w:t>海关政务服务</w:t>
      </w:r>
      <w:r>
        <w:rPr>
          <w:rFonts w:ascii="方正仿宋_GBK" w:hint="eastAsia"/>
          <w:szCs w:val="32"/>
        </w:rPr>
        <w:t>”一体化平台推广力度，推进政务服务事项“一网通办”。</w:t>
      </w:r>
      <w:bookmarkStart w:id="0" w:name="_GoBack"/>
      <w:bookmarkEnd w:id="0"/>
    </w:p>
    <w:p>
      <w:pPr>
        <w:pStyle w:val="26"/>
        <w:spacing w:line="560" w:lineRule="exact"/>
        <w:ind w:firstLineChars="200" w:firstLine="640"/>
        <w:rPr>
          <w:rFonts w:ascii="方正楷体_GBK" w:eastAsia="方正楷体_GBK" w:hint="eastAsia"/>
          <w:b/>
          <w:sz w:val="32"/>
          <w:szCs w:val="32"/>
        </w:rPr>
      </w:pPr>
      <w:r>
        <w:rPr>
          <w:rFonts w:ascii="方正楷体_GBK" w:eastAsia="方正楷体_GBK" w:hint="eastAsia"/>
          <w:b/>
          <w:sz w:val="32"/>
          <w:szCs w:val="32"/>
        </w:rPr>
        <w:t>（三）强化监管优化服务，推进依法把关。</w:t>
      </w:r>
    </w:p>
    <w:p>
      <w:pPr>
        <w:pStyle w:val="26"/>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b/>
          <w:sz w:val="32"/>
          <w:szCs w:val="32"/>
        </w:rPr>
        <w:t>加强法治海关建设。</w:t>
      </w:r>
      <w:r>
        <w:rPr>
          <w:rFonts w:ascii="方正仿宋_GBK" w:eastAsia="方正仿宋_GBK" w:cs="Times New Roman" w:hint="eastAsia"/>
          <w:sz w:val="32"/>
          <w:szCs w:val="32"/>
        </w:rPr>
        <w:t>按照总署统一部署，参与《海关法》论证修订工作。推进关区规章制度“立改废”。实施行政执法公示、重大执法决定法制审核制度。不断强化法治意识，落实“谁执法谁普法”责任制，</w:t>
      </w:r>
      <w:r>
        <w:rPr>
          <w:rFonts w:ascii="方正仿宋_GBK" w:eastAsia="方正仿宋_GBK" w:hint="eastAsia"/>
          <w:sz w:val="32"/>
          <w:szCs w:val="32"/>
        </w:rPr>
        <w:t>开展以案释法，推动全员学法。加强知识产权海关保护。</w:t>
      </w:r>
      <w:r>
        <w:rPr>
          <w:rFonts w:ascii="方正仿宋_GBK" w:eastAsia="方正仿宋_GBK" w:cs="Times New Roman" w:hint="eastAsia"/>
          <w:sz w:val="32"/>
          <w:szCs w:val="32"/>
        </w:rPr>
        <w:t>强化行政复议、应诉工作。</w:t>
      </w:r>
      <w:r>
        <w:rPr>
          <w:rFonts w:ascii="方正仿宋_GBK" w:eastAsia="方正仿宋_GBK" w:hint="eastAsia"/>
          <w:sz w:val="32"/>
          <w:szCs w:val="32"/>
        </w:rPr>
        <w:t>坚持有错必纠，发挥法律监督和法律救济作用，维护相对人合法权益，增强海关执法公信力。</w:t>
      </w:r>
    </w:p>
    <w:p>
      <w:pPr>
        <w:pStyle w:val="26"/>
        <w:spacing w:line="560" w:lineRule="exact"/>
        <w:ind w:firstLineChars="200" w:firstLine="640"/>
        <w:rPr>
          <w:rFonts w:ascii="方正仿宋_GBK" w:eastAsia="方正仿宋_GBK" w:hint="eastAsia"/>
          <w:sz w:val="32"/>
          <w:szCs w:val="32"/>
        </w:rPr>
      </w:pPr>
      <w:r>
        <w:rPr>
          <w:rFonts w:ascii="方正仿宋_GBK" w:eastAsia="方正仿宋_GBK" w:cs="Times New Roman" w:hint="eastAsia"/>
          <w:b/>
          <w:sz w:val="32"/>
          <w:szCs w:val="32"/>
        </w:rPr>
        <w:t>强化实际监管。</w:t>
      </w:r>
      <w:r>
        <w:rPr>
          <w:rFonts w:ascii="方正仿宋_GBK" w:eastAsia="方正仿宋_GBK" w:hint="eastAsia"/>
          <w:sz w:val="32"/>
          <w:szCs w:val="32"/>
        </w:rPr>
        <w:t>加强口岸基础设施建设，推动地方政府及口岸主管部门，</w:t>
      </w:r>
      <w:r>
        <w:rPr>
          <w:rFonts w:ascii="方正仿宋_GBK" w:eastAsia="方正仿宋_GBK" w:hint="eastAsia"/>
          <w:bCs/>
          <w:sz w:val="32"/>
          <w:szCs w:val="32"/>
        </w:rPr>
        <w:t>整合优化口岸检查作业区域和场所，</w:t>
      </w:r>
      <w:r>
        <w:rPr>
          <w:rFonts w:ascii="方正仿宋_GBK" w:eastAsia="方正仿宋_GBK" w:hint="eastAsia"/>
          <w:sz w:val="32"/>
          <w:szCs w:val="32"/>
        </w:rPr>
        <w:t>按标准</w:t>
      </w:r>
      <w:r>
        <w:rPr>
          <w:rFonts w:ascii="方正仿宋_GBK" w:eastAsia="方正仿宋_GBK" w:hint="eastAsia"/>
          <w:bCs/>
          <w:sz w:val="32"/>
          <w:szCs w:val="32"/>
        </w:rPr>
        <w:t>推动监管作业场所规范化建设。</w:t>
      </w:r>
      <w:r>
        <w:rPr>
          <w:rFonts w:ascii="方正仿宋_GBK" w:eastAsia="方正仿宋_GBK" w:hint="eastAsia"/>
          <w:sz w:val="32"/>
          <w:szCs w:val="32"/>
        </w:rPr>
        <w:t>进一步强化风险信息搜集整合，开展跨部门风险分析联合研判，提高布控查验指令的精准度。构建长春关区口岸监管业务运行监控体系，健全应急处置机制，提升业务运行监控能力。加强后续监管，深化“多查合一”改革，强化稽核查工作，以绩效考核指标为导向，针对特许权使用费、转移定价等开展行业性专项稽查。深化加工贸易监管改革，继续推动加工贸易监管由控制型向管理型转变。完善信用管理体系，落实差别化管理措施，加大联合激励、联合惩戒力度。</w:t>
      </w:r>
    </w:p>
    <w:p>
      <w:pPr>
        <w:pStyle w:val="27"/>
        <w:autoSpaceDN w:val="0"/>
        <w:snapToGrid w:val="0"/>
        <w:spacing w:line="560" w:lineRule="exact"/>
        <w:ind w:firstLineChars="200" w:firstLine="640"/>
        <w:rPr>
          <w:rFonts w:ascii="方正仿宋_GBK" w:eastAsia="方正仿宋_GBK" w:hint="eastAsia"/>
          <w:kern w:val="2"/>
        </w:rPr>
      </w:pPr>
      <w:r>
        <w:rPr>
          <w:rFonts w:ascii="方正仿宋_GBK" w:eastAsia="方正仿宋_GBK" w:hint="eastAsia"/>
          <w:b/>
          <w:kern w:val="2"/>
        </w:rPr>
        <w:t>深化综合治税。</w:t>
      </w:r>
      <w:r>
        <w:rPr>
          <w:rFonts w:ascii="方正仿宋_GBK" w:eastAsia="方正仿宋_GBK" w:hint="eastAsia"/>
          <w:kern w:val="2"/>
        </w:rPr>
        <w:t>发挥属地优势，开展以企业为单元的税收风险防控，夯实业务基础，提高税收征管质量。创新税收征管模式，推进关税保证保险改革，扩大“自报自缴”范围。坚持“量、质、效”并举，依法征管，应收尽收，坚决不征“过头税”，完成全年税收目标。</w:t>
      </w:r>
    </w:p>
    <w:p>
      <w:pPr>
        <w:pStyle w:val="28"/>
        <w:spacing w:line="560" w:lineRule="exact"/>
        <w:ind w:firstLineChars="200" w:firstLine="640"/>
        <w:rPr>
          <w:rFonts w:ascii="方正仿宋_GBK" w:eastAsia="方正仿宋_GBK" w:hint="eastAsia"/>
          <w:szCs w:val="32"/>
        </w:rPr>
      </w:pPr>
      <w:r>
        <w:rPr>
          <w:rFonts w:ascii="方正仿宋_GBK" w:eastAsia="方正仿宋_GBK" w:hint="eastAsia"/>
          <w:b/>
          <w:bCs/>
          <w:szCs w:val="32"/>
        </w:rPr>
        <w:t>高压严打走私。</w:t>
      </w:r>
      <w:r>
        <w:rPr>
          <w:rFonts w:ascii="方正仿宋_GBK" w:eastAsia="方正仿宋_GBK" w:hint="eastAsia"/>
          <w:szCs w:val="32"/>
        </w:rPr>
        <w:t>扎实开展“国门利剑2019”、“蓝天2019”等系列专项行动，重点打击“洋垃圾”、象牙等濒危物种及其制品、疫区和未准入动物及其产品、农产品、木炭等资源类货物以及涉枪、涉毒、重点涉税商品走私、绕越设关地走私，确保国门安全。提升办案查获率，大力查扣、追缴涉案财物。深化反走私综合治理，推进落实反走私综合治理主体责任。继续推进缉私国际执法合作。</w:t>
      </w:r>
    </w:p>
    <w:p>
      <w:pPr>
        <w:pStyle w:val="40"/>
        <w:autoSpaceDN w:val="0"/>
        <w:spacing w:line="560" w:lineRule="exact"/>
        <w:ind w:firstLineChars="196" w:firstLine="627"/>
        <w:rPr>
          <w:rFonts w:ascii="方正仿宋_GBK" w:eastAsia="方正仿宋_GBK" w:hint="eastAsia"/>
          <w:b/>
        </w:rPr>
      </w:pPr>
      <w:r>
        <w:rPr>
          <w:rFonts w:ascii="方正仿宋_GBK" w:eastAsia="方正仿宋_GBK" w:hint="eastAsia"/>
          <w:b/>
          <w:bCs/>
        </w:rPr>
        <w:t>提升统计研究水平。</w:t>
      </w:r>
      <w:r>
        <w:rPr>
          <w:rFonts w:ascii="方正仿宋_GBK" w:eastAsia="方正仿宋_GBK" w:cs="Times New Roman" w:hint="eastAsia"/>
          <w:kern w:val="2"/>
        </w:rPr>
        <w:t>立足“数据+研究”，积极参与全球贸易监测分析中心工作，加强宏观经济研究和外贸形势分析，提高统计监测预警水平。加强数据审核，严格数据管控，严防虚假贸易。加强课题研究</w:t>
      </w:r>
      <w:r>
        <w:rPr>
          <w:rFonts w:ascii="方正仿宋_GBK" w:eastAsia="方正仿宋_GBK" w:hint="eastAsia"/>
        </w:rPr>
        <w:t>，提升政策研究能力</w:t>
      </w:r>
      <w:r>
        <w:rPr>
          <w:rFonts w:ascii="方正仿宋_GBK" w:eastAsia="方正仿宋_GBK" w:cs="Times New Roman" w:hint="eastAsia"/>
          <w:kern w:val="2"/>
        </w:rPr>
        <w:t>。</w:t>
      </w:r>
    </w:p>
    <w:p>
      <w:pPr>
        <w:pStyle w:val="29"/>
        <w:autoSpaceDN w:val="0"/>
        <w:snapToGrid w:val="0"/>
        <w:spacing w:line="560" w:lineRule="exact"/>
        <w:ind w:firstLineChars="196" w:firstLine="627"/>
        <w:rPr>
          <w:rFonts w:ascii="方正仿宋_GBK" w:eastAsia="方正仿宋_GBK" w:hint="eastAsia"/>
          <w:color w:val="FF0000"/>
        </w:rPr>
      </w:pPr>
      <w:r>
        <w:rPr>
          <w:rFonts w:ascii="方正仿宋_GBK" w:eastAsia="方正仿宋_GBK" w:hint="eastAsia"/>
          <w:b/>
        </w:rPr>
        <w:t>筑牢卫生检疫防线。</w:t>
      </w:r>
      <w:r>
        <w:rPr>
          <w:rFonts w:ascii="方正仿宋_GBK" w:eastAsia="方正仿宋_GBK" w:hint="eastAsia"/>
          <w:kern w:val="2"/>
        </w:rPr>
        <w:t>持续推进口岸核心能力建设，做好口岸复核验收迎检。加强口岸卫生检疫国际合作。不断强化联防联控，提高卫生检疫水平。加强和规范保健中心建设，强化国际旅行健康保障。实施风险监测、风险评估和动态管理，加强口岸病媒生物监测，严格口岸重点传染病防控，把好口岸卫生检疫关。</w:t>
      </w:r>
    </w:p>
    <w:p>
      <w:pPr>
        <w:pStyle w:val="30"/>
        <w:autoSpaceDN w:val="0"/>
        <w:spacing w:line="560" w:lineRule="exact"/>
        <w:ind w:firstLine="643"/>
        <w:rPr>
          <w:rFonts w:ascii="方正仿宋_GBK" w:eastAsia="方正仿宋_GBK" w:hint="eastAsia"/>
          <w:color w:val="FF0000"/>
        </w:rPr>
      </w:pPr>
      <w:r>
        <w:rPr>
          <w:rFonts w:ascii="方正仿宋_GBK" w:eastAsia="方正仿宋_GBK" w:hint="eastAsia"/>
          <w:b/>
          <w:bCs/>
        </w:rPr>
        <w:t>加强国门生物安全防控。</w:t>
      </w:r>
      <w:r>
        <w:rPr>
          <w:rFonts w:ascii="方正仿宋_GBK" w:eastAsia="方正仿宋_GBK" w:hint="eastAsia"/>
          <w:kern w:val="2"/>
        </w:rPr>
        <w:t>提升动植物检疫能力，加强对外来有害生物监测，严格对重点品种安全风险监控，落实鲜活农产品快速通关和检验检疫监管制度，严格进境动植物及其产品检疫准入，推动优良品种引进，积极应对重大动植物疫情。深入开展“绿蕾”专项行动，把好国门生物安全关。</w:t>
      </w:r>
    </w:p>
    <w:p>
      <w:pPr>
        <w:pStyle w:val="31"/>
        <w:autoSpaceDN w:val="0"/>
        <w:snapToGrid w:val="0"/>
        <w:spacing w:line="560" w:lineRule="exact"/>
        <w:ind w:firstLineChars="196" w:firstLine="627"/>
        <w:rPr>
          <w:rFonts w:ascii="方正仿宋_GBK" w:eastAsia="方正仿宋_GBK" w:hint="eastAsia"/>
          <w:kern w:val="2"/>
        </w:rPr>
      </w:pPr>
      <w:r>
        <w:rPr>
          <w:rFonts w:ascii="方正仿宋_GBK" w:eastAsia="方正仿宋_GBK" w:hint="eastAsia"/>
          <w:b/>
          <w:bCs/>
        </w:rPr>
        <w:t>严把进出口商品安全关。</w:t>
      </w:r>
      <w:r>
        <w:rPr>
          <w:rFonts w:ascii="方正仿宋_GBK" w:eastAsia="方正仿宋_GBK" w:hint="eastAsia"/>
          <w:kern w:val="2"/>
        </w:rPr>
        <w:t>坚持食品安全“四个最严”，严格执行进口食品检验检疫准入制度，完善食品、化妆品监督管理体系，加强对进口预包装食品标签管理及高风险产品检验监管，确保进出口食品安全。落实国家固体废物进口管理制度改革，严防“洋垃圾”入境。严格有毒有害物质检测。推动完善进出口商品质量安全风险预警和快速反应监管体系。复制推广第三方检验结果采信制度。强化进出口危险货物及其包装的检验监管，防止发生安全事故。</w:t>
      </w:r>
    </w:p>
    <w:p>
      <w:pPr>
        <w:pStyle w:val="41"/>
        <w:autoSpaceDN w:val="0"/>
        <w:snapToGrid w:val="0"/>
        <w:spacing w:line="560" w:lineRule="exact"/>
        <w:ind w:firstLineChars="200" w:firstLine="640"/>
        <w:rPr>
          <w:rFonts w:ascii="方正仿宋_GBK" w:eastAsia="方正仿宋_GBK" w:hint="eastAsia"/>
          <w:kern w:val="2"/>
        </w:rPr>
      </w:pPr>
      <w:r>
        <w:rPr>
          <w:rFonts w:ascii="方正仿宋_GBK" w:eastAsia="方正仿宋_GBK" w:hint="eastAsia"/>
          <w:b/>
          <w:bCs/>
        </w:rPr>
        <w:t>支持融入“一带一路”建设。</w:t>
      </w:r>
      <w:r>
        <w:rPr>
          <w:rFonts w:ascii="方正仿宋_GBK" w:eastAsia="方正仿宋_GBK" w:hint="eastAsia"/>
        </w:rPr>
        <w:t>主动从党和国家大局出发，积极推动“一带一路”、东北振兴、“长吉图”国家战略实施。深化与周边国家海关机制化合作，促进国际物流大通道建设。</w:t>
      </w:r>
      <w:r>
        <w:rPr>
          <w:rFonts w:ascii="方正仿宋_GBK" w:eastAsia="方正仿宋_GBK" w:hint="eastAsia"/>
          <w:kern w:val="2"/>
        </w:rPr>
        <w:t>提升口岸通关便利化水平，促进“滨海2号”国际运输走廊建设发展，支持“长满欧”、珲马铁路、内贸外运航线增量运行，支持“长珲欧”班列开通。推动边境海关合作持续发展，探索开展检验检疫国际合作，加强与俄罗斯远东局海关合作，做好俄方回访保障工作。</w:t>
      </w:r>
    </w:p>
    <w:p>
      <w:pPr>
        <w:pStyle w:val="26"/>
        <w:spacing w:line="560" w:lineRule="exact"/>
        <w:ind w:firstLineChars="196" w:firstLine="627"/>
        <w:rPr>
          <w:rFonts w:ascii="方正仿宋_GBK" w:eastAsia="方正仿宋_GBK" w:cs="Times New Roman" w:hint="eastAsia"/>
          <w:sz w:val="32"/>
          <w:szCs w:val="32"/>
        </w:rPr>
      </w:pPr>
      <w:r>
        <w:rPr>
          <w:rFonts w:ascii="方正仿宋_GBK" w:eastAsia="方正仿宋_GBK" w:cs="Times New Roman" w:hint="eastAsia"/>
          <w:b/>
          <w:sz w:val="32"/>
          <w:szCs w:val="32"/>
        </w:rPr>
        <w:t>促进外贸稳中提质。</w:t>
      </w:r>
      <w:r>
        <w:rPr>
          <w:rFonts w:ascii="方正仿宋_GBK" w:eastAsia="方正仿宋_GBK" w:cs="Times New Roman" w:hint="eastAsia"/>
          <w:sz w:val="32"/>
          <w:szCs w:val="32"/>
        </w:rPr>
        <w:t>认真落实中央各项稳外贸稳外资政策。积极开展税政调研，切实降低企业经营成本。积极落实国家税收优惠政策。支持长春市释放跨境电商“综试区”政策优势，全面开展跨境电商业务，支持延吉等其他具备条件的地区开展跨境电商业务。</w:t>
      </w:r>
    </w:p>
    <w:p>
      <w:pPr>
        <w:pStyle w:val="32"/>
        <w:autoSpaceDN w:val="0"/>
        <w:spacing w:line="560" w:lineRule="exact"/>
        <w:ind w:firstLine="640"/>
        <w:rPr>
          <w:rFonts w:ascii="方正仿宋_GBK" w:eastAsia="方正仿宋_GBK" w:hint="eastAsia"/>
          <w:color w:val="FF0000"/>
        </w:rPr>
      </w:pPr>
      <w:r>
        <w:rPr>
          <w:rFonts w:ascii="方正仿宋_GBK" w:eastAsia="方正仿宋_GBK" w:hint="eastAsia"/>
          <w:b/>
          <w:bCs/>
        </w:rPr>
        <w:t>支持开放平台建设。</w:t>
      </w:r>
      <w:r>
        <w:rPr>
          <w:rFonts w:ascii="方正仿宋_GBK" w:eastAsia="方正仿宋_GBK" w:cs="Times New Roman" w:hint="eastAsia"/>
          <w:kern w:val="2"/>
        </w:rPr>
        <w:t>高标准推进新成立海关建设。推进完成长春市汽车整车口岸验收，支持长春市打造东北进出口汽车销售中心。支持长春市申报药品、水生动物等进境指定口岸。支持集安公路等新验收口岸建设，推动长春兴隆铁路、安图双目峰、防川码头口岸延续临时开放。支持长春、延吉空港口岸新增航线，促进跨境旅游发展。</w:t>
      </w:r>
    </w:p>
    <w:p>
      <w:pPr>
        <w:pStyle w:val="33"/>
        <w:spacing w:line="560" w:lineRule="exact"/>
        <w:ind w:firstLineChars="200" w:firstLine="640"/>
        <w:rPr>
          <w:rFonts w:ascii="方正楷体_GBK" w:eastAsia="方正楷体_GBK" w:hint="eastAsia"/>
          <w:b/>
          <w:sz w:val="32"/>
          <w:szCs w:val="32"/>
        </w:rPr>
      </w:pPr>
      <w:r>
        <w:rPr>
          <w:rFonts w:ascii="方正楷体_GBK" w:eastAsia="方正楷体_GBK" w:hint="eastAsia"/>
          <w:b/>
          <w:sz w:val="32"/>
          <w:szCs w:val="32"/>
        </w:rPr>
        <w:t>（四）加强智慧海关建设，推进科技兴关。</w:t>
      </w:r>
    </w:p>
    <w:p>
      <w:pPr>
        <w:pStyle w:val="34"/>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hint="eastAsia"/>
          <w:b/>
          <w:sz w:val="32"/>
          <w:szCs w:val="32"/>
        </w:rPr>
        <w:t>加强科技工作顶层设计。</w:t>
      </w:r>
      <w:r>
        <w:rPr>
          <w:rFonts w:ascii="Times New Roman" w:eastAsia="方正仿宋_GBK" w:cs="Times New Roman" w:hAnsi="Times New Roman" w:hint="eastAsia"/>
          <w:sz w:val="32"/>
          <w:szCs w:val="32"/>
        </w:rPr>
        <w:t>完善长春海关科技发展规划，推进业务科技一体化，统筹推进智慧楼宇、智慧管理、智慧监管、智慧缉私、智慧稽查等智慧海关建设。强化科技管理、安全运行、项目研发，统筹做好各类科技应用项目建设。加强科技队伍建设，推荐选拔学科带头人和中青年业务骨干，组建长春海关科学技术委员会。</w:t>
      </w:r>
    </w:p>
    <w:p>
      <w:pPr>
        <w:pStyle w:val="35"/>
        <w:spacing w:line="560" w:lineRule="exact"/>
        <w:ind w:firstLineChars="208" w:firstLine="666"/>
        <w:rPr>
          <w:rFonts w:ascii="方正仿宋_GBK" w:eastAsia="方正仿宋_GBK"/>
          <w:sz w:val="32"/>
          <w:szCs w:val="32"/>
        </w:rPr>
      </w:pPr>
      <w:r>
        <w:rPr>
          <w:rFonts w:ascii="方正仿宋_GBK" w:eastAsia="方正仿宋_GBK" w:hint="eastAsia"/>
          <w:b/>
          <w:sz w:val="32"/>
          <w:szCs w:val="32"/>
        </w:rPr>
        <w:t>加快智慧监管建设。</w:t>
      </w:r>
      <w:r>
        <w:rPr>
          <w:rFonts w:ascii="方正仿宋_GBK" w:eastAsia="方正仿宋_GBK" w:hint="eastAsia"/>
          <w:sz w:val="32"/>
          <w:szCs w:val="32"/>
        </w:rPr>
        <w:t>加大科技应用力度，制定落实智慧监管框架方案，以智慧监管信息平台和监管现场布局、通道合理规划为基础，以集中审像、智能审图、智能卡口等新技术、新装备实战应用为手段，实施“集成互联”和“中心—现场”的良性互动，打造与长春关区监管工作相适应的智慧监管新模式。</w:t>
      </w:r>
    </w:p>
    <w:p>
      <w:pPr>
        <w:pStyle w:val="34"/>
        <w:spacing w:before="0" w:beforeAutospacing="0" w:after="0" w:afterAutospacing="0" w:line="560" w:lineRule="exact"/>
        <w:ind w:firstLineChars="200" w:firstLine="640"/>
        <w:jc w:val="both"/>
        <w:rPr>
          <w:rFonts w:ascii="Times New Roman" w:eastAsia="方正仿宋_GBK" w:cs="Times New Roman" w:hAnsi="Times New Roman" w:hint="eastAsia"/>
          <w:b/>
          <w:sz w:val="32"/>
          <w:szCs w:val="32"/>
        </w:rPr>
      </w:pPr>
      <w:r>
        <w:rPr>
          <w:rFonts w:ascii="Times New Roman" w:eastAsia="方正仿宋_GBK" w:cs="Times New Roman" w:hAnsi="Times New Roman" w:hint="eastAsia"/>
          <w:b/>
          <w:sz w:val="32"/>
          <w:szCs w:val="32"/>
        </w:rPr>
        <w:t>推进智慧缉私建设。</w:t>
      </w:r>
      <w:r>
        <w:rPr>
          <w:rFonts w:ascii="Times New Roman" w:eastAsia="方正仿宋_GBK" w:cs="Times New Roman" w:hAnsi="Times New Roman" w:hint="eastAsia"/>
          <w:sz w:val="32"/>
          <w:szCs w:val="32"/>
        </w:rPr>
        <w:t>在上年“情指一体化”平台实现实体化运作的基础上，继续推进智慧情报建设，着手建设以情报作战云平台、专用数据库为核心的智慧情报系统，构建关区立体情报体系，将大数据转化为高质量的情报产品，为监管、打私提供精确指引。</w:t>
      </w:r>
    </w:p>
    <w:p>
      <w:pPr>
        <w:pStyle w:val="34"/>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hint="eastAsia"/>
          <w:b/>
          <w:sz w:val="32"/>
          <w:szCs w:val="32"/>
        </w:rPr>
        <w:t>加强大数据开发应用。</w:t>
      </w:r>
      <w:r>
        <w:rPr>
          <w:rFonts w:ascii="Times New Roman" w:eastAsia="方正仿宋_GBK" w:cs="Times New Roman" w:hAnsi="Times New Roman" w:hint="eastAsia"/>
          <w:sz w:val="32"/>
          <w:szCs w:val="32"/>
        </w:rPr>
        <w:t>强化大数据与监管设备集成运用，加快构建智能模型体系，实施多维度、全领域企业画像，建立专家研判风险，机器智能辅助的运行机制。统筹管理关检信息化系统，搭建业务监控智慧中心统一门户，推动实现数据信息互联互通。协调推进海关数据资源共享共建，支持社会诚信体系建设，积极对接地方政府系统平台，实现跨层级、跨领域协同监管。</w:t>
      </w:r>
    </w:p>
    <w:p>
      <w:pPr>
        <w:pStyle w:val="34"/>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方正仿宋_GBK" w:eastAsia="方正仿宋_GBK" w:cs="Arial" w:hint="eastAsia"/>
          <w:b/>
          <w:kern w:val="2"/>
          <w:sz w:val="32"/>
          <w:szCs w:val="32"/>
        </w:rPr>
        <w:t>强化科技服务保障。</w:t>
      </w:r>
      <w:r>
        <w:rPr>
          <w:rFonts w:ascii="Times New Roman" w:eastAsia="方正仿宋_GBK" w:cs="Times New Roman" w:hAnsi="Times New Roman" w:hint="eastAsia"/>
          <w:sz w:val="32"/>
          <w:szCs w:val="32"/>
        </w:rPr>
        <w:t>统筹科技设备配备应用，制定科技设备标准化配置方案，优化整合监管设备和检验检测仪器，盘活用好各类资源。加快重大监管设备采购和配发，提高利用效率和信息化水平。加强实验室能力建设，制定规划方案、完善区域布局、优化资源配置，组织做好生物安全实验室能力提升专项和三级生物安全实验室资格申报，形成以国家级检测重点实验室为龙头、区域性中心实验室为骨干、常规实验室为基础的检验检测技术体系。</w:t>
      </w:r>
    </w:p>
    <w:p>
      <w:pPr>
        <w:pStyle w:val="26"/>
        <w:spacing w:line="560" w:lineRule="exact"/>
        <w:ind w:firstLineChars="200" w:firstLine="640"/>
        <w:rPr>
          <w:rFonts w:ascii="方正楷体_GBK" w:eastAsia="方正楷体_GBK"/>
          <w:b/>
          <w:sz w:val="32"/>
          <w:szCs w:val="32"/>
        </w:rPr>
      </w:pPr>
      <w:r>
        <w:rPr>
          <w:rFonts w:ascii="方正楷体_GBK" w:eastAsia="方正楷体_GBK" w:hint="eastAsia"/>
          <w:b/>
          <w:sz w:val="32"/>
          <w:szCs w:val="32"/>
        </w:rPr>
        <w:t>（五）对标忠诚干净担当要求，推进从严治关。</w:t>
      </w:r>
    </w:p>
    <w:p>
      <w:pPr>
        <w:pStyle w:val="36"/>
        <w:widowControl w:val="0"/>
        <w:adjustRightInd w:val="0"/>
        <w:snapToGrid w:val="0"/>
        <w:spacing w:line="560" w:lineRule="exact"/>
        <w:ind w:firstLineChars="200" w:firstLine="640"/>
        <w:rPr>
          <w:rFonts w:ascii="方正仿宋_GBK" w:hint="eastAsia"/>
          <w:szCs w:val="32"/>
        </w:rPr>
      </w:pPr>
      <w:r>
        <w:rPr>
          <w:rFonts w:ascii="方正仿宋_GBK" w:hint="eastAsia"/>
          <w:b/>
          <w:szCs w:val="32"/>
        </w:rPr>
        <w:t>全面提升党的建设质量。</w:t>
      </w:r>
      <w:r>
        <w:rPr>
          <w:rFonts w:ascii="方正仿宋_GBK" w:hint="eastAsia"/>
          <w:szCs w:val="32"/>
        </w:rPr>
        <w:t>理顺关区两级党委领导体制，切实加强党的领导，确保全面从严治党主体责任层层压紧压实。扎实开展两级党委理论</w:t>
      </w:r>
      <w:r>
        <w:rPr>
          <w:rFonts w:ascii="方正仿宋_GBK"/>
          <w:szCs w:val="32"/>
        </w:rPr>
        <w:t>学习中心组</w:t>
      </w:r>
      <w:r>
        <w:rPr>
          <w:rFonts w:ascii="方正仿宋_GBK" w:hint="eastAsia"/>
          <w:szCs w:val="32"/>
        </w:rPr>
        <w:t>学习，组织开展“不忘初心、牢记使命”主题教育。加强基层组织建设。完善基层党组织设置，确保党的组织和工作全覆盖。提升支部组织力，突出政治功能，严格落实“三会一课”，发挥支部教育管理监督党员作用。持续挖掘基层党建热源，完善基层党建创先争优机制，大力培育有特色、有影响的党建品牌。</w:t>
      </w:r>
    </w:p>
    <w:p>
      <w:pPr>
        <w:pStyle w:val="24"/>
        <w:spacing w:line="560" w:lineRule="exact"/>
        <w:ind w:firstLineChars="200" w:firstLine="640"/>
        <w:rPr>
          <w:rFonts w:ascii="方正仿宋_GBK" w:eastAsia="方正仿宋_GBK" w:hint="eastAsia"/>
          <w:sz w:val="32"/>
          <w:szCs w:val="32"/>
        </w:rPr>
      </w:pPr>
      <w:r>
        <w:rPr>
          <w:rFonts w:ascii="方正仿宋_GBK" w:eastAsia="方正仿宋_GBK" w:hint="eastAsia"/>
          <w:b/>
          <w:sz w:val="32"/>
          <w:szCs w:val="32"/>
        </w:rPr>
        <w:t>扎实推进高素质专业化干部队伍建设。</w:t>
      </w:r>
      <w:r>
        <w:rPr>
          <w:rFonts w:ascii="方正仿宋_GBK" w:eastAsia="方正仿宋_GBK" w:hint="eastAsia"/>
          <w:sz w:val="32"/>
          <w:szCs w:val="32"/>
        </w:rPr>
        <w:t>贯彻落实新修订的《公务员法》。要坚持政治标准，加强机构改革“三定”后的各级领导班子建设，做好人力资源配置调研，推进干部岗位交流，健全年轻干部培育、选拔、管理统筹推进的全链条机制，完善“三位一体”干部考核评价体系，持续优化干部队伍结构，树立重实干、重实绩用人导向。切实加强干部监督检查，开展关区选人用人等专项自查整改。加强执法一线科长和优秀年轻干部培养选拔力度。推动构建系统完备、科学规范、运行高效的教育培训工作机制，围绕建设高素质、专业化干部队伍目标，统筹推动干部教育培训五年规划落实。</w:t>
      </w:r>
    </w:p>
    <w:p>
      <w:pPr>
        <w:pStyle w:val="37"/>
        <w:snapToGrid w:val="0"/>
        <w:spacing w:line="560" w:lineRule="exact"/>
        <w:ind w:firstLineChars="200" w:firstLine="640"/>
        <w:jc w:val="both"/>
        <w:rPr>
          <w:rFonts w:ascii="方正仿宋_GBK" w:eastAsia="方正仿宋_GBK" w:hint="eastAsia"/>
          <w:sz w:val="32"/>
          <w:szCs w:val="32"/>
        </w:rPr>
      </w:pPr>
      <w:r>
        <w:rPr>
          <w:rFonts w:ascii="方正仿宋_GBK" w:eastAsia="方正仿宋_GBK" w:hint="eastAsia"/>
          <w:b/>
          <w:sz w:val="32"/>
          <w:szCs w:val="32"/>
        </w:rPr>
        <w:t>高标准严要求锻造准军事化纪律部队。</w:t>
      </w:r>
      <w:r>
        <w:rPr>
          <w:rFonts w:ascii="方正仿宋_GBK" w:eastAsia="方正仿宋_GBK" w:hint="eastAsia"/>
          <w:sz w:val="32"/>
          <w:szCs w:val="32"/>
        </w:rPr>
        <w:t>深化“补转提”活动，开展岗位练兵，提高干部职工业务技能；继续开展准军事化全员集训，学习宣传海关内务规范，强化纪律日常养成，形成雷厉风行、令行禁止的优良作风；加强长春海关特色文化建设，总结提炼长春海关边关精神，增强投身海关事业的认同感、荣誉感，激励全体关员、职工勇于担当、甘于奉献，锻造“</w:t>
      </w:r>
      <w:r>
        <w:rPr>
          <w:rFonts w:ascii="方正仿宋_GBK" w:eastAsia="方正仿宋_GBK" w:cs="Times New Roman" w:hint="eastAsia"/>
          <w:sz w:val="32"/>
          <w:szCs w:val="32"/>
        </w:rPr>
        <w:t>政治坚定、业务精通、令行禁止、担当奉献”的准军事化纪律部队</w:t>
      </w:r>
      <w:r>
        <w:rPr>
          <w:rFonts w:ascii="方正仿宋_GBK" w:eastAsia="方正仿宋_GBK" w:hint="eastAsia"/>
          <w:sz w:val="32"/>
          <w:szCs w:val="32"/>
        </w:rPr>
        <w:t>。</w:t>
      </w:r>
    </w:p>
    <w:p>
      <w:pPr>
        <w:pStyle w:val="38"/>
        <w:adjustRightInd w:val="0"/>
        <w:snapToGrid w:val="0"/>
        <w:spacing w:line="560" w:lineRule="exact"/>
        <w:ind w:firstLineChars="200" w:firstLine="640"/>
        <w:jc w:val="both"/>
        <w:rPr>
          <w:rFonts w:ascii="方正仿宋_GBK" w:eastAsia="方正仿宋_GBK" w:hint="eastAsia"/>
          <w:bCs/>
          <w:sz w:val="32"/>
          <w:szCs w:val="32"/>
        </w:rPr>
      </w:pPr>
      <w:r>
        <w:rPr>
          <w:rFonts w:ascii="方正仿宋_GBK" w:eastAsia="方正仿宋_GBK" w:hint="eastAsia"/>
          <w:b/>
          <w:sz w:val="32"/>
          <w:szCs w:val="32"/>
        </w:rPr>
        <w:t>深入推进党风廉政建设和反腐败斗争。</w:t>
      </w:r>
      <w:r>
        <w:rPr>
          <w:rFonts w:ascii="方正仿宋_GBK" w:eastAsia="方正仿宋_GBK" w:hint="eastAsia"/>
          <w:bCs/>
          <w:sz w:val="32"/>
          <w:szCs w:val="32"/>
        </w:rPr>
        <w:t>以党的政治建设为统领，坚持“两个维护”，通过主体责任与监督责任同向发力，强化管党治党的政治责任，切实解决全面从严治党“最后一公里”的问题。突出纪严于法、纪在法前，一体推进不敢腐、不能腐、不想腐。强化执纪审查，紧盯重要节点、</w:t>
      </w:r>
      <w:r>
        <w:rPr>
          <w:rFonts w:ascii="方正仿宋_GBK" w:eastAsia="方正仿宋_GBK" w:cs="方正仿宋_GBK" w:hint="eastAsia"/>
          <w:bCs/>
          <w:sz w:val="32"/>
          <w:szCs w:val="32"/>
        </w:rPr>
        <w:t>重点领域、关键环节和风险岗位，在去存量遏增量上下功夫。</w:t>
      </w:r>
      <w:r>
        <w:rPr>
          <w:rFonts w:ascii="方正仿宋_GBK" w:eastAsia="方正仿宋_GBK" w:hint="eastAsia"/>
          <w:bCs/>
          <w:sz w:val="32"/>
          <w:szCs w:val="32"/>
        </w:rPr>
        <w:t>配齐配强纪检监察干部</w:t>
      </w:r>
      <w:r>
        <w:rPr>
          <w:rFonts w:ascii="方正仿宋_GBK" w:eastAsia="方正仿宋_GBK" w:cs="宋体" w:hint="eastAsia"/>
          <w:kern w:val="0"/>
          <w:sz w:val="32"/>
          <w:szCs w:val="32"/>
        </w:rPr>
        <w:t>，用足用好派驻监督力量，支持纪检监察机构充分履行监督职责</w:t>
      </w:r>
      <w:r>
        <w:rPr>
          <w:rFonts w:ascii="方正仿宋_GBK" w:eastAsia="方正仿宋_GBK" w:hint="eastAsia"/>
          <w:bCs/>
          <w:sz w:val="32"/>
          <w:szCs w:val="32"/>
        </w:rPr>
        <w:t>。会用善用监督执纪“四种形态”，</w:t>
      </w:r>
      <w:r>
        <w:rPr>
          <w:rFonts w:ascii="方正仿宋_GBK" w:eastAsia="方正仿宋_GBK" w:cs="宋体" w:hint="eastAsia"/>
          <w:sz w:val="32"/>
          <w:szCs w:val="32"/>
        </w:rPr>
        <w:t>严格</w:t>
      </w:r>
      <w:r>
        <w:rPr>
          <w:rFonts w:ascii="方正仿宋_GBK" w:eastAsia="方正仿宋_GBK" w:hint="eastAsia"/>
          <w:bCs/>
          <w:sz w:val="32"/>
          <w:szCs w:val="32"/>
        </w:rPr>
        <w:t>落实谈话提醒、约谈函询等制度，</w:t>
      </w:r>
      <w:r>
        <w:rPr>
          <w:rFonts w:ascii="方正仿宋_GBK" w:eastAsia="方正仿宋_GBK" w:cs="宋体" w:hint="eastAsia"/>
          <w:sz w:val="32"/>
          <w:szCs w:val="32"/>
        </w:rPr>
        <w:t>达到“惩前毖后、治病救人”的效果</w:t>
      </w:r>
      <w:r>
        <w:rPr>
          <w:rFonts w:ascii="方正仿宋_GBK" w:eastAsia="方正仿宋_GBK" w:hint="eastAsia"/>
          <w:bCs/>
          <w:sz w:val="32"/>
          <w:szCs w:val="32"/>
        </w:rPr>
        <w:t>。扎紧制度笼子，</w:t>
      </w:r>
      <w:r>
        <w:rPr>
          <w:rFonts w:ascii="方正仿宋_GBK" w:eastAsia="方正仿宋_GBK" w:cs="方正仿宋_GBK" w:hint="eastAsia"/>
          <w:bCs/>
          <w:sz w:val="32"/>
          <w:szCs w:val="32"/>
        </w:rPr>
        <w:t>查找制度漏洞、监管盲点，推动形成靠制度管权、管事、管人的长效机制</w:t>
      </w:r>
      <w:r>
        <w:rPr>
          <w:rFonts w:ascii="方正仿宋_GBK" w:eastAsia="方正仿宋_GBK" w:hint="eastAsia"/>
          <w:bCs/>
          <w:sz w:val="32"/>
          <w:szCs w:val="32"/>
        </w:rPr>
        <w:t>。持续深化政治巡察，上下联动开展好巡察工作。持之以恒落实中央八项规定精神，</w:t>
      </w:r>
      <w:r>
        <w:rPr>
          <w:rFonts w:ascii="方正仿宋_GBK" w:eastAsia="方正仿宋_GBK" w:hint="eastAsia"/>
          <w:sz w:val="32"/>
          <w:szCs w:val="32"/>
        </w:rPr>
        <w:t>继续整治“四风”，</w:t>
      </w:r>
      <w:r>
        <w:rPr>
          <w:rFonts w:ascii="方正仿宋_GBK" w:eastAsia="方正仿宋_GBK" w:hint="eastAsia"/>
          <w:bCs/>
          <w:snapToGrid w:val="0"/>
          <w:sz w:val="32"/>
          <w:szCs w:val="32"/>
        </w:rPr>
        <w:t>注重防范和查处各种隐性变异、改头换面的“四风”问题</w:t>
      </w:r>
      <w:r>
        <w:rPr>
          <w:rFonts w:ascii="方正仿宋_GBK" w:eastAsia="方正仿宋_GBK" w:hint="eastAsia"/>
          <w:sz w:val="32"/>
          <w:szCs w:val="32"/>
        </w:rPr>
        <w:t>。</w:t>
      </w:r>
      <w:r>
        <w:rPr>
          <w:rFonts w:ascii="方正仿宋_GBK" w:eastAsia="方正仿宋_GBK" w:hint="eastAsia"/>
          <w:bCs/>
          <w:sz w:val="32"/>
          <w:szCs w:val="32"/>
        </w:rPr>
        <w:t>进一步加大对以权谋私、受贿放私、失职渎职和群体性执法腐败问题的惩处力度；对不收敛、不收手，严重违纪涉嫌违法犯罪的问题，坚持无禁区、全覆盖、零容忍；对不认真履行主体责任和监督责任，不担当、不作为的党组织和党员领导干部，严肃追责问责。加强对群众监督的正面引导，对反映不实的及时澄清，严肃查处恶意诬告行为。</w:t>
      </w:r>
    </w:p>
    <w:p>
      <w:pPr>
        <w:pStyle w:val="39"/>
        <w:widowControl w:val="0"/>
        <w:adjustRightInd w:val="0"/>
        <w:snapToGrid w:val="0"/>
        <w:spacing w:line="560" w:lineRule="exact"/>
        <w:ind w:firstLineChars="200" w:firstLine="640"/>
        <w:rPr>
          <w:rFonts w:ascii="方正仿宋_GBK" w:hint="eastAsia"/>
          <w:szCs w:val="32"/>
        </w:rPr>
      </w:pPr>
      <w:r>
        <w:rPr>
          <w:rFonts w:ascii="方正仿宋_GBK" w:hint="eastAsia"/>
          <w:szCs w:val="32"/>
        </w:rPr>
        <w:t>同时，大力推进综合保障各项工作提质增效。提升政务运行效能，持续整治“文山会海”，严格控制发文数量，精简会议，加强调查研究，做好信息宣传、值班应急等工作。结合署级督察清单，开展好专项督察工作；加强和完善督察审计，开展综合性关区大督查，建立健全迎审机制；全面开展专项审计、经济责任审计，持续推进专项审计历史遗留问题整改。推进执法评估系统、新海廉系统应用工作。提升财务后勤保障水平，强化预算执行，确保重点基建项目进度和质量。加大边关一线支持力度，全力保障工资津补贴等人员经费和机构正常运行的刚性支出。推进工青妇、老干部等工作有序开展。</w:t>
      </w:r>
    </w:p>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简体">
    <w:altName w:val="宋体"/>
    <w:panose1 w:val="00000000000000000000"/>
    <w:charset w:val="86"/>
    <w:family w:val="auto"/>
    <w:pitch w:val="variable"/>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0000000000000000000"/>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center"/>
    </w:pPr>
    <w:r>
      <w:fldChar w:fldCharType="begin"/>
    </w:r>
    <w:r>
      <w:instrText xml:space="preserve"> PAGE   \* MERGEFORMAT </w:instrText>
    </w:r>
    <w:r>
      <w:fldChar w:fldCharType="separate"/>
    </w:r>
    <w:r>
      <w:rPr>
        <w:lang w:val="zh-CN"/>
      </w:rPr>
      <w:t>11</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rFonts w:ascii="Calibri" w:eastAsia="宋体" w:cs="Arial" w:hAnsi="Calibri"/>
      <w:sz w:val="18"/>
      <w:szCs w:val="18"/>
    </w:rPr>
  </w:style>
  <w:style w:type="paragraph" w:styleId="16">
    <w:name w:val="footer"/>
    <w:basedOn w:val="0"/>
    <w:pPr>
      <w:tabs>
        <w:tab w:val="center" w:pos="4153"/>
        <w:tab w:val="right" w:pos="8306"/>
      </w:tabs>
      <w:snapToGrid w:val="0"/>
      <w:jc w:val="left"/>
    </w:pPr>
    <w:rPr>
      <w:rFonts w:ascii="Calibri" w:eastAsia="宋体" w:cs="Arial" w:hAnsi="Calibri"/>
      <w:sz w:val="18"/>
      <w:szCs w:val="18"/>
    </w:rPr>
  </w:style>
  <w:style w:type="paragraph" w:customStyle="1" w:styleId="17">
    <w:name w:val="样式 130 10 磅"/>
    <w:pPr>
      <w:widowControl w:val="0"/>
      <w:jc w:val="both"/>
    </w:pPr>
    <w:rPr>
      <w:rFonts w:ascii="Calibri" w:eastAsia="宋体" w:cs="Arial" w:hAnsi="Calibri"/>
      <w:kern w:val="2"/>
      <w:sz w:val="21"/>
      <w:szCs w:val="22"/>
      <w:lang w:val="en-US" w:eastAsia="zh-CN" w:bidi="ar-SA"/>
    </w:rPr>
  </w:style>
  <w:style w:type="paragraph" w:customStyle="1" w:styleId="18">
    <w:name w:val="样式 131 10 磅"/>
    <w:pPr>
      <w:widowControl w:val="0"/>
      <w:jc w:val="both"/>
    </w:pPr>
    <w:rPr>
      <w:rFonts w:ascii="Calibri" w:eastAsia="宋体" w:cs="Arial" w:hAnsi="Calibri"/>
      <w:kern w:val="2"/>
      <w:sz w:val="21"/>
      <w:szCs w:val="22"/>
      <w:lang w:val="en-US" w:eastAsia="zh-CN" w:bidi="ar-SA"/>
    </w:rPr>
  </w:style>
  <w:style w:type="paragraph" w:customStyle="1" w:styleId="19">
    <w:name w:val="样式 132 10 磅"/>
    <w:pPr>
      <w:widowControl w:val="0"/>
      <w:jc w:val="both"/>
    </w:pPr>
    <w:rPr>
      <w:rFonts w:ascii="Calibri" w:eastAsia="宋体" w:cs="Arial" w:hAnsi="Calibri"/>
      <w:kern w:val="2"/>
      <w:sz w:val="21"/>
      <w:szCs w:val="22"/>
      <w:lang w:val="en-US" w:eastAsia="zh-CN" w:bidi="ar-SA"/>
    </w:rPr>
  </w:style>
  <w:style w:type="paragraph" w:customStyle="1" w:styleId="20">
    <w:name w:val="样式 124 三号"/>
    <w:next w:val="0"/>
    <w:pPr>
      <w:spacing w:line="288" w:lineRule="auto"/>
      <w:jc w:val="both"/>
    </w:pPr>
    <w:rPr>
      <w:rFonts w:ascii="Times New Roman" w:eastAsia="宋体" w:cs="Times New Roman" w:hAnsi="Times New Roman"/>
      <w:kern w:val="0"/>
      <w:sz w:val="32"/>
      <w:szCs w:val="32"/>
      <w:lang w:val="en-US" w:eastAsia="zh-CN" w:bidi="ar-SA"/>
    </w:rPr>
  </w:style>
  <w:style w:type="paragraph" w:customStyle="1" w:styleId="21">
    <w:name w:val="25"/>
    <w:next w:val="0"/>
    <w:pPr>
      <w:spacing w:line="288" w:lineRule="auto"/>
      <w:jc w:val="both"/>
    </w:pPr>
    <w:rPr>
      <w:rFonts w:ascii="Times New Roman" w:eastAsia="宋体" w:cs="Times New Roman" w:hAnsi="Times New Roman"/>
      <w:kern w:val="0"/>
      <w:sz w:val="32"/>
      <w:szCs w:val="32"/>
      <w:lang w:val="en-US" w:eastAsia="zh-CN" w:bidi="ar-SA"/>
    </w:rPr>
  </w:style>
  <w:style w:type="paragraph" w:customStyle="1" w:styleId="22">
    <w:name w:val="样式 7 三号"/>
    <w:pPr>
      <w:spacing w:line="293" w:lineRule="auto"/>
      <w:jc w:val="both"/>
    </w:pPr>
    <w:rPr>
      <w:rFonts w:ascii="Times New Roman" w:eastAsia="方正仿宋_GBK" w:cs="Times New Roman" w:hAnsi="Times New Roman"/>
      <w:kern w:val="2"/>
      <w:sz w:val="32"/>
      <w:szCs w:val="22"/>
      <w:lang w:val="en-US" w:eastAsia="zh-CN" w:bidi="ar-SA"/>
    </w:rPr>
  </w:style>
  <w:style w:type="paragraph" w:customStyle="1" w:styleId="23">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样式 23 10 磅"/>
    <w:pPr>
      <w:widowControl w:val="0"/>
      <w:jc w:val="both"/>
    </w:pPr>
    <w:rPr>
      <w:rFonts w:ascii="Calibri" w:eastAsia="宋体" w:cs="Arial" w:hAnsi="Calibri"/>
      <w:kern w:val="2"/>
      <w:sz w:val="21"/>
      <w:szCs w:val="22"/>
      <w:lang w:val="en-US" w:eastAsia="zh-CN" w:bidi="ar-SA"/>
    </w:rPr>
  </w:style>
  <w:style w:type="paragraph" w:customStyle="1" w:styleId="25">
    <w:name w:val="样式 22 三号"/>
    <w:pPr>
      <w:spacing w:line="293" w:lineRule="auto"/>
      <w:jc w:val="both"/>
    </w:pPr>
    <w:rPr>
      <w:rFonts w:ascii="Times New Roman" w:eastAsia="方正仿宋_GBK" w:cs="Times New Roman" w:hAnsi="Times New Roman"/>
      <w:kern w:val="2"/>
      <w:sz w:val="32"/>
      <w:szCs w:val="22"/>
      <w:lang w:val="en-US" w:eastAsia="zh-CN" w:bidi="ar-SA"/>
    </w:rPr>
  </w:style>
  <w:style w:type="paragraph" w:customStyle="1" w:styleId="26">
    <w:name w:val="样式 24 10 磅"/>
    <w:pPr>
      <w:widowControl w:val="0"/>
      <w:jc w:val="both"/>
    </w:pPr>
    <w:rPr>
      <w:rFonts w:ascii="Calibri" w:eastAsia="宋体" w:cs="Arial" w:hAnsi="Calibri"/>
      <w:kern w:val="2"/>
      <w:sz w:val="21"/>
      <w:szCs w:val="22"/>
      <w:lang w:val="en-US" w:eastAsia="zh-CN" w:bidi="ar-SA"/>
    </w:rPr>
  </w:style>
  <w:style w:type="paragraph" w:customStyle="1" w:styleId="27">
    <w:name w:val="样式 24 三号"/>
    <w:pPr>
      <w:spacing w:line="288" w:lineRule="auto"/>
      <w:jc w:val="both"/>
    </w:pPr>
    <w:rPr>
      <w:rFonts w:ascii="Times New Roman" w:eastAsia="宋体" w:cs="Times New Roman" w:hAnsi="Times New Roman"/>
      <w:kern w:val="0"/>
      <w:sz w:val="32"/>
      <w:szCs w:val="32"/>
      <w:lang w:val="en-US" w:eastAsia="zh-CN" w:bidi="ar-SA"/>
    </w:rPr>
  </w:style>
  <w:style w:type="paragraph" w:customStyle="1" w:styleId="28">
    <w:name w:val="样式 26 三号"/>
    <w:pPr>
      <w:widowControl w:val="0"/>
      <w:jc w:val="both"/>
    </w:pPr>
    <w:rPr>
      <w:rFonts w:ascii="仿宋_GB2312" w:eastAsia="仿宋_GB2312" w:cs="Times New Roman"/>
      <w:kern w:val="2"/>
      <w:sz w:val="32"/>
      <w:szCs w:val="20"/>
      <w:lang w:val="en-US" w:eastAsia="zh-CN" w:bidi="ar-SA"/>
    </w:rPr>
  </w:style>
  <w:style w:type="paragraph" w:customStyle="1" w:styleId="29">
    <w:name w:val="样式 27 三号"/>
    <w:pPr>
      <w:spacing w:line="288" w:lineRule="auto"/>
      <w:jc w:val="both"/>
    </w:pPr>
    <w:rPr>
      <w:rFonts w:ascii="Times New Roman" w:eastAsia="宋体" w:cs="Times New Roman" w:hAnsi="Times New Roman"/>
      <w:kern w:val="0"/>
      <w:sz w:val="32"/>
      <w:szCs w:val="32"/>
      <w:lang w:val="en-US" w:eastAsia="zh-CN" w:bidi="ar-SA"/>
    </w:rPr>
  </w:style>
  <w:style w:type="paragraph" w:customStyle="1" w:styleId="30">
    <w:name w:val="样式 28 三号"/>
    <w:pPr>
      <w:spacing w:line="288" w:lineRule="auto"/>
      <w:jc w:val="both"/>
    </w:pPr>
    <w:rPr>
      <w:rFonts w:ascii="Times New Roman" w:eastAsia="宋体" w:cs="Times New Roman" w:hAnsi="Times New Roman"/>
      <w:kern w:val="0"/>
      <w:sz w:val="32"/>
      <w:szCs w:val="32"/>
      <w:lang w:val="en-US" w:eastAsia="zh-CN" w:bidi="ar-SA"/>
    </w:rPr>
  </w:style>
  <w:style w:type="paragraph" w:customStyle="1" w:styleId="31">
    <w:name w:val="样式 29 三号"/>
    <w:pPr>
      <w:spacing w:line="288" w:lineRule="auto"/>
      <w:jc w:val="both"/>
    </w:pPr>
    <w:rPr>
      <w:rFonts w:ascii="Times New Roman" w:eastAsia="宋体" w:cs="Times New Roman" w:hAnsi="Times New Roman"/>
      <w:kern w:val="0"/>
      <w:sz w:val="32"/>
      <w:szCs w:val="32"/>
      <w:lang w:val="en-US" w:eastAsia="zh-CN" w:bidi="ar-SA"/>
    </w:rPr>
  </w:style>
  <w:style w:type="paragraph" w:customStyle="1" w:styleId="32">
    <w:name w:val="样式 31 三号"/>
    <w:pPr>
      <w:snapToGrid w:val="0"/>
      <w:spacing w:line="288" w:lineRule="auto"/>
      <w:jc w:val="both"/>
    </w:pPr>
    <w:rPr>
      <w:rFonts w:ascii="Arial" w:eastAsia="宋体" w:cs="Arial" w:hAnsi="Arial"/>
      <w:kern w:val="0"/>
      <w:sz w:val="32"/>
      <w:szCs w:val="32"/>
      <w:lang w:val="en-US" w:eastAsia="zh-CN" w:bidi="ar-SA"/>
    </w:rPr>
  </w:style>
  <w:style w:type="paragraph" w:customStyle="1" w:styleId="33">
    <w:name w:val="样式 25 10 磅"/>
    <w:pPr>
      <w:widowControl w:val="0"/>
      <w:jc w:val="both"/>
    </w:pPr>
    <w:rPr>
      <w:rFonts w:ascii="Calibri" w:eastAsia="宋体" w:cs="Arial" w:hAnsi="Calibri"/>
      <w:kern w:val="2"/>
      <w:sz w:val="21"/>
      <w:szCs w:val="22"/>
      <w:lang w:val="en-US" w:eastAsia="zh-CN" w:bidi="ar-SA"/>
    </w:rPr>
  </w:style>
  <w:style w:type="paragraph" w:customStyle="1" w:styleId="34">
    <w:name w:val="样式 5 小四"/>
    <w:pPr>
      <w:spacing w:before="100" w:beforeAutospacing="1" w:after="100" w:afterAutospacing="1"/>
    </w:pPr>
    <w:rPr>
      <w:rFonts w:ascii="宋体" w:eastAsia="宋体" w:cs="宋体"/>
      <w:kern w:val="0"/>
      <w:sz w:val="24"/>
      <w:szCs w:val="24"/>
      <w:lang w:val="en-US" w:eastAsia="zh-CN" w:bidi="ar-SA"/>
    </w:rPr>
  </w:style>
  <w:style w:type="paragraph" w:customStyle="1" w:styleId="35">
    <w:name w:val="样式 28 10 磅"/>
    <w:pPr>
      <w:widowControl w:val="0"/>
      <w:jc w:val="both"/>
    </w:pPr>
    <w:rPr>
      <w:rFonts w:ascii="Calibri" w:eastAsia="宋体" w:cs="Arial" w:hAnsi="Calibri"/>
      <w:kern w:val="2"/>
      <w:sz w:val="21"/>
      <w:szCs w:val="22"/>
      <w:lang w:val="en-US" w:eastAsia="zh-CN" w:bidi="ar-SA"/>
    </w:rPr>
  </w:style>
  <w:style w:type="paragraph" w:customStyle="1" w:styleId="36">
    <w:name w:val="样式 32 三号"/>
    <w:pPr>
      <w:spacing w:line="293" w:lineRule="auto"/>
      <w:jc w:val="both"/>
    </w:pPr>
    <w:rPr>
      <w:rFonts w:ascii="Times New Roman" w:eastAsia="方正仿宋_GBK" w:cs="Times New Roman" w:hAnsi="Times New Roman"/>
      <w:kern w:val="2"/>
      <w:sz w:val="32"/>
      <w:szCs w:val="22"/>
      <w:lang w:val="en-US" w:eastAsia="zh-CN" w:bidi="ar-SA"/>
    </w:rPr>
  </w:style>
  <w:style w:type="paragraph" w:customStyle="1" w:styleId="37">
    <w:name w:val="样式 6 小四"/>
    <w:rPr>
      <w:rFonts w:ascii="宋体" w:eastAsia="宋体" w:cs="宋体"/>
      <w:kern w:val="0"/>
      <w:sz w:val="24"/>
      <w:szCs w:val="24"/>
      <w:lang w:val="en-US" w:eastAsia="zh-CN" w:bidi="ar-SA"/>
    </w:rPr>
  </w:style>
  <w:style w:type="paragraph" w:customStyle="1" w:styleId="38">
    <w:name w:val="样式 7 小四"/>
    <w:pPr>
      <w:widowControl w:val="0"/>
    </w:pPr>
    <w:rPr>
      <w:rFonts w:ascii="宋体" w:eastAsia="宋体" w:cs="Times New Roman"/>
      <w:kern w:val="2"/>
      <w:sz w:val="24"/>
      <w:szCs w:val="20"/>
      <w:lang w:val="en-US" w:eastAsia="zh-CN" w:bidi="ar-SA"/>
    </w:rPr>
  </w:style>
  <w:style w:type="paragraph" w:customStyle="1" w:styleId="39">
    <w:name w:val="样式 33 三号"/>
    <w:pPr>
      <w:spacing w:line="293" w:lineRule="auto"/>
      <w:jc w:val="both"/>
    </w:pPr>
    <w:rPr>
      <w:rFonts w:ascii="Times New Roman" w:eastAsia="方正仿宋_GBK" w:cs="Times New Roman" w:hAnsi="Times New Roman"/>
      <w:kern w:val="2"/>
      <w:sz w:val="32"/>
      <w:szCs w:val="22"/>
      <w:lang w:val="en-US" w:eastAsia="zh-CN" w:bidi="ar-SA"/>
    </w:rPr>
  </w:style>
  <w:style w:type="paragraph" w:customStyle="1" w:styleId="40">
    <w:name w:val="样式 35 三号"/>
    <w:pPr>
      <w:snapToGrid w:val="0"/>
      <w:spacing w:line="288" w:lineRule="auto"/>
      <w:jc w:val="both"/>
    </w:pPr>
    <w:rPr>
      <w:rFonts w:ascii="Arial" w:eastAsia="宋体" w:cs="Arial" w:hAnsi="Arial"/>
      <w:kern w:val="0"/>
      <w:sz w:val="32"/>
      <w:szCs w:val="32"/>
      <w:lang w:val="en-US" w:eastAsia="zh-CN" w:bidi="ar-SA"/>
    </w:rPr>
  </w:style>
  <w:style w:type="paragraph" w:customStyle="1" w:styleId="41">
    <w:name w:val="样式 42 三号"/>
    <w:pPr>
      <w:spacing w:line="288" w:lineRule="auto"/>
      <w:jc w:val="both"/>
    </w:pPr>
    <w:rPr>
      <w:rFonts w:ascii="Times New Roman" w:eastAsia="宋体" w:cs="Times New Roman" w:hAnsi="Times New Roman"/>
      <w:kern w:val="0"/>
      <w:sz w:val="32"/>
      <w:szCs w:val="32"/>
      <w:lang w:val="en-US" w:eastAsia="zh-CN" w:bidi="ar-SA"/>
    </w:rPr>
  </w:style>
  <w:style w:type="paragraph" w:customStyle="1" w:styleId="42">
    <w:name w:val="样式 53 10 磅"/>
    <w:pPr>
      <w:jc w:val="both"/>
    </w:pPr>
    <w:rPr>
      <w:rFonts w:ascii="Times New Roman" w:eastAsia="宋体" w:cs="Times New Roman" w:hAnsi="Times New Roman"/>
      <w:kern w:val="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13</TotalTime>
  <Application>Yozo_Office</Application>
  <Pages>11</Pages>
  <Words>6136</Words>
  <Characters>6157</Characters>
  <Lines>256</Lines>
  <Paragraphs>38</Paragraphs>
  <CharactersWithSpaces>6159</CharactersWithSpaces>
  <Company>cchg</Company>
</Properties>
</file>

<file path=docProps/core.xml><?xml version="1.0" encoding="utf-8"?>
<cp:coreProperties xmlns:cp="http://schemas.openxmlformats.org/package/2006/metadata/core-properties" xmlns:dc="http://purl.org/dc/elements/1.1/" xmlns:dcterms="http://purl.org/dc/terms/" xmlns:xsi="http://www.w3.org/2001/XMLSchema-instance">
  <dc:creator>lixueting</dc:creator>
  <cp:lastModifiedBy>金文超</cp:lastModifiedBy>
  <cp:revision>6</cp:revision>
  <dcterms:created xsi:type="dcterms:W3CDTF">2019-07-01T02:06:00Z</dcterms:created>
  <dcterms:modified xsi:type="dcterms:W3CDTF">2025-12-05T06:07:55Z</dcterms:modified>
</cp:coreProperties>
</file>