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600" w:lineRule="exact"/>
        <w:jc w:val="left"/>
        <w:rPr>
          <w:rFonts w:eastAsia="方正黑体_GBK"/>
          <w:sz w:val="32"/>
          <w:szCs w:val="32"/>
        </w:rPr>
      </w:pPr>
      <w:bookmarkStart w:id="0" w:name="_Toc177908972"/>
      <w:bookmarkStart w:id="1" w:name="_GoBack"/>
      <w:bookmarkEnd w:id="1"/>
      <w:r>
        <w:rPr>
          <w:rFonts w:ascii="方正黑体_GBK" w:eastAsia="方正黑体_GBK" w:hint="eastAsia"/>
          <w:sz w:val="32"/>
          <w:szCs w:val="32"/>
        </w:rPr>
        <w:t>附件</w:t>
      </w:r>
    </w:p>
    <w:p>
      <w:pPr>
        <w:spacing w:line="600" w:lineRule="exact"/>
        <w:jc w:val="left"/>
        <w:rPr>
          <w:rFonts w:ascii="方正黑体_GBK" w:eastAsia="方正黑体_GBK"/>
          <w:sz w:val="32"/>
          <w:szCs w:val="32"/>
        </w:rPr>
      </w:pPr>
    </w:p>
    <w:p>
      <w:pPr>
        <w:spacing w:line="600" w:lineRule="exact"/>
        <w:jc w:val="center"/>
        <w:rPr>
          <w:rFonts w:ascii="方正小标宋_GBK" w:eastAsia="方正小标宋_GBK"/>
          <w:sz w:val="44"/>
          <w:szCs w:val="44"/>
        </w:rPr>
      </w:pPr>
      <w:r>
        <w:rPr>
          <w:rFonts w:ascii="方正小标宋_GBK" w:eastAsia="方正小标宋_GBK" w:hint="eastAsia"/>
          <w:sz w:val="44"/>
          <w:szCs w:val="44"/>
        </w:rPr>
        <w:t>第十四届中国—东北亚博览会</w:t>
      </w:r>
    </w:p>
    <w:p>
      <w:pPr>
        <w:spacing w:line="600" w:lineRule="exact"/>
        <w:jc w:val="center"/>
        <w:rPr>
          <w:rFonts w:ascii="方正小标宋_GBK" w:eastAsia="方正小标宋_GBK"/>
          <w:sz w:val="44"/>
          <w:szCs w:val="44"/>
        </w:rPr>
      </w:pPr>
      <w:r>
        <w:rPr>
          <w:rFonts w:ascii="方正小标宋_GBK" w:eastAsia="方正小标宋_GBK" w:hint="eastAsia"/>
          <w:sz w:val="44"/>
          <w:szCs w:val="44"/>
        </w:rPr>
        <w:t>海关通关</w:t>
      </w:r>
      <w:bookmarkEnd w:id="0"/>
      <w:r>
        <w:rPr>
          <w:rFonts w:ascii="方正小标宋_GBK" w:eastAsia="方正小标宋_GBK" w:hint="eastAsia"/>
          <w:sz w:val="44"/>
          <w:szCs w:val="44"/>
        </w:rPr>
        <w:t>须知</w:t>
      </w:r>
    </w:p>
    <w:p>
      <w:pPr>
        <w:pStyle w:val="17"/>
        <w:spacing w:line="560" w:lineRule="exact"/>
        <w:ind w:firstLineChars="0" w:firstLine="0"/>
        <w:outlineLvl w:val="0"/>
        <w:rPr>
          <w:rFonts w:ascii="方正仿宋_GBK" w:eastAsia="方正仿宋_GBK"/>
          <w:sz w:val="32"/>
          <w:szCs w:val="32"/>
        </w:rPr>
      </w:pPr>
      <w:bookmarkStart w:id="2" w:name="_Toc177908973"/>
    </w:p>
    <w:p>
      <w:pPr>
        <w:pStyle w:val="17"/>
        <w:spacing w:line="560" w:lineRule="exact"/>
        <w:outlineLvl w:val="0"/>
        <w:rPr>
          <w:rFonts w:ascii="方正仿宋_GBK" w:eastAsia="方正仿宋_GBK"/>
          <w:sz w:val="32"/>
          <w:szCs w:val="32"/>
        </w:rPr>
      </w:pPr>
      <w:r>
        <w:rPr>
          <w:rFonts w:ascii="方正仿宋_GBK" w:eastAsia="方正仿宋_GBK" w:hint="eastAsia"/>
          <w:sz w:val="32"/>
          <w:szCs w:val="32"/>
        </w:rPr>
        <w:t>中华人民共和国长春海关将为</w:t>
      </w:r>
      <w:r>
        <w:rPr>
          <w:rFonts w:eastAsia="方正仿宋_GBK"/>
          <w:sz w:val="32"/>
          <w:szCs w:val="32"/>
        </w:rPr>
        <w:t>202</w:t>
      </w:r>
      <w:r>
        <w:rPr>
          <w:rFonts w:eastAsia="方正仿宋_GBK" w:hint="eastAsia"/>
          <w:sz w:val="32"/>
          <w:szCs w:val="32"/>
        </w:rPr>
        <w:t>3</w:t>
      </w:r>
      <w:r>
        <w:rPr>
          <w:rFonts w:ascii="方正仿宋_GBK" w:eastAsia="方正仿宋_GBK" w:hint="eastAsia"/>
          <w:sz w:val="32"/>
          <w:szCs w:val="32"/>
        </w:rPr>
        <w:t>年第十四届中国-东北亚博览会（以下简称“东博会”）提供全面优质的服务，并按照《中华人民共和国海关法》《中华人民共和国进出口商品检验法》《中华人民共和国进出境动植物检疫法》《中华人民共和国国境卫生检疫法》《中华人民共和国食品安全法》《中华人民共和国关税条例》等法律法规对东博会进出境物资实施监管。</w:t>
      </w:r>
    </w:p>
    <w:p>
      <w:pPr>
        <w:pStyle w:val="17"/>
        <w:spacing w:line="560" w:lineRule="exact"/>
        <w:outlineLvl w:val="0"/>
        <w:rPr>
          <w:rFonts w:ascii="方正仿宋_GBK" w:eastAsia="方正仿宋_GBK"/>
          <w:sz w:val="32"/>
          <w:szCs w:val="32"/>
        </w:rPr>
      </w:pPr>
      <w:r>
        <w:rPr>
          <w:rFonts w:ascii="方正仿宋_GBK" w:eastAsia="方正仿宋_GBK" w:hint="eastAsia"/>
          <w:sz w:val="32"/>
          <w:szCs w:val="32"/>
        </w:rPr>
        <w:t>东博会期间，长春兴隆海关将派员入驻会展中心，提供相关咨询服务。</w:t>
      </w:r>
    </w:p>
    <w:p>
      <w:pPr>
        <w:pStyle w:val="17"/>
        <w:spacing w:line="560" w:lineRule="exact"/>
        <w:outlineLvl w:val="0"/>
        <w:rPr>
          <w:rFonts w:ascii="方正仿宋_GBK" w:eastAsia="方正仿宋_GBK"/>
          <w:sz w:val="32"/>
          <w:szCs w:val="32"/>
        </w:rPr>
      </w:pPr>
      <w:r>
        <w:rPr>
          <w:rFonts w:ascii="方正仿宋_GBK" w:eastAsia="方正仿宋_GBK" w:hint="eastAsia"/>
          <w:sz w:val="32"/>
          <w:szCs w:val="32"/>
        </w:rPr>
        <w:t>东博会境外参展商或其委托的主场运输服务商可凭组委会方出具加盖长春兴隆海关公章的《</w:t>
      </w:r>
      <w:r>
        <w:rPr>
          <w:rFonts w:ascii="方正仿宋_GBK" w:eastAsia="方正仿宋_GBK" w:hint="eastAsia"/>
          <w:spacing w:val="-4"/>
          <w:sz w:val="32"/>
          <w:szCs w:val="32"/>
        </w:rPr>
        <w:t>展品清单</w:t>
      </w:r>
      <w:r>
        <w:rPr>
          <w:rFonts w:ascii="方正仿宋_GBK" w:eastAsia="方正仿宋_GBK" w:hint="eastAsia"/>
          <w:sz w:val="32"/>
          <w:szCs w:val="32"/>
        </w:rPr>
        <w:t>》和《消耗、宣传广告品清单》，在专窗办理业务。</w:t>
      </w:r>
    </w:p>
    <w:p>
      <w:pPr>
        <w:pStyle w:val="17"/>
        <w:spacing w:line="560" w:lineRule="exact"/>
        <w:outlineLvl w:val="0"/>
        <w:rPr>
          <w:rFonts w:ascii="方正黑体_GBK" w:eastAsia="方正黑体_GBK"/>
          <w:sz w:val="32"/>
          <w:szCs w:val="32"/>
        </w:rPr>
      </w:pPr>
      <w:bookmarkEnd w:id="2"/>
      <w:r>
        <w:rPr>
          <w:rFonts w:ascii="方正黑体_GBK" w:eastAsia="方正黑体_GBK" w:hint="eastAsia"/>
          <w:sz w:val="32"/>
          <w:szCs w:val="32"/>
        </w:rPr>
        <w:t>一、展览会的备案及审批</w:t>
      </w:r>
    </w:p>
    <w:p>
      <w:pPr>
        <w:spacing w:line="560" w:lineRule="exact"/>
        <w:ind w:firstLineChars="200" w:firstLine="640"/>
        <w:rPr>
          <w:rFonts w:ascii="方正楷体_GBK" w:eastAsia="方正楷体_GBK"/>
          <w:sz w:val="32"/>
          <w:szCs w:val="32"/>
        </w:rPr>
      </w:pPr>
      <w:r>
        <w:rPr>
          <w:rFonts w:ascii="方正楷体_GBK" w:eastAsia="方正楷体_GBK" w:hint="eastAsia"/>
          <w:sz w:val="32"/>
          <w:szCs w:val="32"/>
        </w:rPr>
        <w:t>（一）“东北亚博览会”及代理报关企业备案</w:t>
      </w:r>
      <w:r>
        <w:rPr>
          <w:rFonts w:ascii="方正楷体_GBK" w:eastAsia="方正楷体_GBK"/>
          <w:sz w:val="32"/>
          <w:szCs w:val="32"/>
        </w:rPr>
        <w:t>。</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由“东北亚博览会”（以下简称“东博会”）组委会或指定代理持下列单证在展会开幕前一个月，到长春兴隆海关提交</w:t>
      </w:r>
      <w:r>
        <w:rPr>
          <w:rFonts w:ascii="方正仿宋_GBK" w:eastAsia="方正仿宋_GBK" w:hint="eastAsia"/>
          <w:spacing w:val="-4"/>
          <w:sz w:val="32"/>
          <w:szCs w:val="32"/>
        </w:rPr>
        <w:t>下列单证</w:t>
      </w:r>
      <w:r>
        <w:rPr>
          <w:rFonts w:ascii="方正仿宋_GBK" w:eastAsia="方正仿宋_GBK" w:hint="eastAsia"/>
          <w:sz w:val="32"/>
          <w:szCs w:val="32"/>
        </w:rPr>
        <w:t>办理备案手续：</w:t>
      </w:r>
    </w:p>
    <w:p>
      <w:pPr>
        <w:spacing w:line="560" w:lineRule="exact"/>
        <w:ind w:firstLineChars="200" w:firstLine="624"/>
        <w:rPr>
          <w:rFonts w:eastAsia="方正仿宋_GBK"/>
          <w:spacing w:val="-4"/>
          <w:sz w:val="32"/>
          <w:szCs w:val="32"/>
        </w:rPr>
      </w:pPr>
      <w:r>
        <w:rPr>
          <w:rFonts w:eastAsia="方正仿宋_GBK"/>
          <w:spacing w:val="-4"/>
          <w:sz w:val="32"/>
          <w:szCs w:val="32"/>
        </w:rPr>
        <w:t>（1）展会备案登记表；</w:t>
      </w:r>
    </w:p>
    <w:p>
      <w:pPr>
        <w:spacing w:line="560" w:lineRule="exact"/>
        <w:ind w:firstLineChars="200" w:firstLine="624"/>
        <w:rPr>
          <w:rFonts w:eastAsia="方正仿宋_GBK"/>
          <w:spacing w:val="-4"/>
          <w:sz w:val="32"/>
          <w:szCs w:val="32"/>
        </w:rPr>
      </w:pPr>
      <w:r>
        <w:rPr>
          <w:rFonts w:eastAsia="方正仿宋_GBK"/>
          <w:spacing w:val="-4"/>
          <w:sz w:val="32"/>
          <w:szCs w:val="32"/>
        </w:rPr>
        <w:t>（2）国家主管部门批准的文件；</w:t>
      </w:r>
    </w:p>
    <w:p>
      <w:pPr>
        <w:spacing w:line="560" w:lineRule="exact"/>
        <w:ind w:firstLineChars="200" w:firstLine="624"/>
        <w:rPr>
          <w:rFonts w:eastAsia="方正仿宋_GBK"/>
          <w:spacing w:val="-4"/>
          <w:sz w:val="32"/>
          <w:szCs w:val="32"/>
        </w:rPr>
      </w:pPr>
      <w:r>
        <w:rPr>
          <w:rFonts w:eastAsia="方正仿宋_GBK"/>
          <w:spacing w:val="-4"/>
          <w:sz w:val="32"/>
          <w:szCs w:val="32"/>
        </w:rPr>
        <w:t>（3）展会总体方案；</w:t>
      </w:r>
    </w:p>
    <w:p>
      <w:pPr>
        <w:spacing w:line="560" w:lineRule="exact"/>
        <w:ind w:firstLineChars="200" w:firstLine="624"/>
        <w:rPr>
          <w:rFonts w:eastAsia="方正仿宋_GBK"/>
          <w:spacing w:val="-4"/>
          <w:sz w:val="32"/>
          <w:szCs w:val="32"/>
        </w:rPr>
      </w:pPr>
      <w:r>
        <w:rPr>
          <w:rFonts w:eastAsia="方正仿宋_GBK"/>
          <w:spacing w:val="-4"/>
          <w:sz w:val="32"/>
          <w:szCs w:val="32"/>
        </w:rPr>
        <w:t>（4）展区平面图；</w:t>
      </w:r>
    </w:p>
    <w:p>
      <w:pPr>
        <w:spacing w:line="560" w:lineRule="exact"/>
        <w:ind w:firstLineChars="200" w:firstLine="624"/>
        <w:rPr>
          <w:rFonts w:eastAsia="方正仿宋_GBK"/>
          <w:spacing w:val="-4"/>
          <w:sz w:val="32"/>
          <w:szCs w:val="32"/>
        </w:rPr>
      </w:pPr>
      <w:r>
        <w:rPr>
          <w:rFonts w:eastAsia="方正仿宋_GBK"/>
          <w:spacing w:val="-4"/>
          <w:sz w:val="32"/>
          <w:szCs w:val="32"/>
        </w:rPr>
        <w:t>（5）参展商名录；</w:t>
      </w:r>
    </w:p>
    <w:p>
      <w:pPr>
        <w:spacing w:line="560" w:lineRule="exact"/>
        <w:ind w:firstLineChars="200" w:firstLine="624"/>
        <w:rPr>
          <w:rFonts w:eastAsia="方正仿宋_GBK"/>
          <w:spacing w:val="-4"/>
          <w:sz w:val="32"/>
          <w:szCs w:val="32"/>
        </w:rPr>
      </w:pPr>
      <w:r>
        <w:rPr>
          <w:rFonts w:eastAsia="方正仿宋_GBK"/>
          <w:spacing w:val="-4"/>
          <w:sz w:val="32"/>
          <w:szCs w:val="32"/>
        </w:rPr>
        <w:t>（6）展品清单（单列或标明留购、转展、退运、赠送、放弃）；</w:t>
      </w:r>
    </w:p>
    <w:p>
      <w:pPr>
        <w:spacing w:line="560" w:lineRule="exact"/>
        <w:ind w:firstLineChars="200" w:firstLine="624"/>
        <w:rPr>
          <w:rFonts w:ascii="方正仿宋_GBK" w:eastAsia="方正仿宋_GBK"/>
          <w:spacing w:val="-4"/>
          <w:sz w:val="32"/>
          <w:szCs w:val="32"/>
        </w:rPr>
      </w:pPr>
      <w:r>
        <w:rPr>
          <w:rFonts w:eastAsia="方正仿宋_GBK"/>
          <w:spacing w:val="-4"/>
          <w:sz w:val="32"/>
          <w:szCs w:val="32"/>
        </w:rPr>
        <w:t>（7）</w:t>
      </w:r>
      <w:r>
        <w:rPr>
          <w:rFonts w:ascii="方正仿宋_GBK" w:eastAsia="方正仿宋_GBK" w:hint="eastAsia"/>
          <w:spacing w:val="-4"/>
          <w:sz w:val="32"/>
          <w:szCs w:val="32"/>
        </w:rPr>
        <w:t>展会用品清单</w:t>
      </w:r>
      <w:r>
        <w:rPr>
          <w:rFonts w:ascii="方正仿宋_GBK" w:eastAsia="方正仿宋_GBK"/>
          <w:spacing w:val="-4"/>
          <w:sz w:val="32"/>
          <w:szCs w:val="32"/>
        </w:rPr>
        <w:t>（</w:t>
      </w:r>
      <w:r>
        <w:rPr>
          <w:rFonts w:ascii="方正仿宋_GBK" w:eastAsia="方正仿宋_GBK" w:hint="eastAsia"/>
          <w:spacing w:val="-4"/>
          <w:sz w:val="32"/>
          <w:szCs w:val="32"/>
        </w:rPr>
        <w:t>布展用品、消耗品、广告宣传品</w:t>
      </w:r>
      <w:r>
        <w:rPr>
          <w:rFonts w:ascii="方正仿宋_GBK" w:eastAsia="方正仿宋_GBK"/>
          <w:spacing w:val="-4"/>
          <w:sz w:val="32"/>
          <w:szCs w:val="32"/>
        </w:rPr>
        <w:t>）。</w:t>
      </w:r>
    </w:p>
    <w:p>
      <w:pPr>
        <w:spacing w:line="560" w:lineRule="exact"/>
        <w:ind w:firstLineChars="200" w:firstLine="640"/>
        <w:rPr>
          <w:rFonts w:ascii="方正仿宋_GBK" w:eastAsia="方正仿宋_GBK"/>
          <w:spacing w:val="-4"/>
          <w:sz w:val="32"/>
          <w:szCs w:val="32"/>
        </w:rPr>
      </w:pPr>
      <w:r>
        <w:rPr>
          <w:rFonts w:ascii="方正仿宋_GBK" w:eastAsia="方正仿宋_GBK" w:hint="eastAsia"/>
          <w:sz w:val="32"/>
          <w:szCs w:val="32"/>
        </w:rPr>
        <w:t>接受委托的运输、报关代理企业在办理备案手续时，需要同时提交《海关注册备案证书》和办展人出具的《授权委托书》。</w:t>
      </w:r>
    </w:p>
    <w:p>
      <w:pPr>
        <w:spacing w:line="560" w:lineRule="exact"/>
        <w:ind w:firstLineChars="196" w:firstLine="627"/>
        <w:rPr>
          <w:rFonts w:ascii="方正仿宋_GBK" w:eastAsia="方正仿宋_GBK"/>
          <w:sz w:val="32"/>
          <w:szCs w:val="32"/>
        </w:rPr>
      </w:pPr>
      <w:r>
        <w:rPr>
          <w:rFonts w:ascii="方正仿宋_GBK" w:eastAsia="方正仿宋_GBK" w:hint="eastAsia"/>
          <w:sz w:val="32"/>
          <w:szCs w:val="32"/>
        </w:rPr>
        <w:t>长春兴隆海关根据组委会提交的备案材料，对展会的合法性</w:t>
      </w:r>
      <w:r>
        <w:rPr>
          <w:rFonts w:ascii="方正仿宋_GBK" w:eastAsia="方正仿宋_GBK"/>
          <w:sz w:val="32"/>
          <w:szCs w:val="32"/>
        </w:rPr>
        <w:t>、</w:t>
      </w:r>
      <w:r>
        <w:rPr>
          <w:rFonts w:ascii="方正仿宋_GBK" w:eastAsia="方正仿宋_GBK" w:hint="eastAsia"/>
          <w:sz w:val="32"/>
          <w:szCs w:val="32"/>
        </w:rPr>
        <w:t>展品</w:t>
      </w:r>
      <w:r>
        <w:rPr>
          <w:rFonts w:ascii="方正仿宋_GBK" w:eastAsia="方正仿宋_GBK"/>
          <w:sz w:val="32"/>
          <w:szCs w:val="32"/>
        </w:rPr>
        <w:t>、</w:t>
      </w:r>
      <w:r>
        <w:rPr>
          <w:rFonts w:ascii="方正仿宋_GBK" w:eastAsia="方正仿宋_GBK" w:hint="eastAsia"/>
          <w:sz w:val="32"/>
          <w:szCs w:val="32"/>
        </w:rPr>
        <w:t>展会布展用消耗品</w:t>
      </w:r>
      <w:r>
        <w:rPr>
          <w:rFonts w:ascii="方正仿宋_GBK" w:eastAsia="方正仿宋_GBK"/>
          <w:sz w:val="32"/>
          <w:szCs w:val="32"/>
        </w:rPr>
        <w:t>和</w:t>
      </w:r>
      <w:r>
        <w:rPr>
          <w:rFonts w:ascii="方正仿宋_GBK" w:eastAsia="方正仿宋_GBK" w:hint="eastAsia"/>
          <w:sz w:val="32"/>
          <w:szCs w:val="32"/>
        </w:rPr>
        <w:t>宣传广告用物品</w:t>
      </w:r>
      <w:r>
        <w:rPr>
          <w:rFonts w:ascii="方正仿宋_GBK" w:eastAsia="方正仿宋_GBK"/>
          <w:sz w:val="32"/>
          <w:szCs w:val="32"/>
        </w:rPr>
        <w:t>等</w:t>
      </w:r>
      <w:r>
        <w:rPr>
          <w:rFonts w:ascii="方正仿宋_GBK" w:eastAsia="方正仿宋_GBK" w:hint="eastAsia"/>
          <w:sz w:val="32"/>
          <w:szCs w:val="32"/>
        </w:rPr>
        <w:t>进行审核备案。对布展用消耗品和展会期间消耗、宣传广告品，按海关有关限量规定（见附</w:t>
      </w:r>
      <w:r>
        <w:rPr>
          <w:rFonts w:eastAsia="方正仿宋_GBK"/>
          <w:sz w:val="32"/>
          <w:szCs w:val="32"/>
        </w:rPr>
        <w:t>表1）</w:t>
      </w:r>
      <w:r>
        <w:rPr>
          <w:rFonts w:ascii="方正仿宋_GBK" w:eastAsia="方正仿宋_GBK" w:hint="eastAsia"/>
          <w:sz w:val="32"/>
          <w:szCs w:val="32"/>
        </w:rPr>
        <w:t>审核认定，并将海关审核确认盖章的《</w:t>
      </w:r>
      <w:r>
        <w:rPr>
          <w:rFonts w:ascii="方正仿宋_GBK" w:eastAsia="方正仿宋_GBK" w:hint="eastAsia"/>
          <w:spacing w:val="-4"/>
          <w:sz w:val="32"/>
          <w:szCs w:val="32"/>
        </w:rPr>
        <w:t>展品清单</w:t>
      </w:r>
      <w:r>
        <w:rPr>
          <w:rFonts w:ascii="方正仿宋_GBK" w:eastAsia="方正仿宋_GBK" w:hint="eastAsia"/>
          <w:sz w:val="32"/>
          <w:szCs w:val="32"/>
        </w:rPr>
        <w:t>》和《消耗、宣传广告品清单》交给办展人，企业可凭此办理展览品的审批、关税减免、进出境通关等事宜。</w:t>
      </w:r>
    </w:p>
    <w:p>
      <w:pPr>
        <w:spacing w:line="560" w:lineRule="exact"/>
        <w:ind w:firstLineChars="200" w:firstLine="640"/>
        <w:rPr>
          <w:rFonts w:ascii="方正楷体_GBK" w:eastAsia="方正楷体_GBK"/>
          <w:sz w:val="32"/>
          <w:szCs w:val="32"/>
        </w:rPr>
      </w:pPr>
      <w:r>
        <w:rPr>
          <w:rFonts w:ascii="方正楷体_GBK" w:eastAsia="方正楷体_GBK" w:hint="eastAsia"/>
          <w:sz w:val="32"/>
          <w:szCs w:val="32"/>
        </w:rPr>
        <w:t>（二）展览品的审批及准入</w:t>
      </w:r>
      <w:r>
        <w:rPr>
          <w:rFonts w:ascii="方正楷体_GBK" w:eastAsia="方正楷体_GBK"/>
          <w:sz w:val="32"/>
          <w:szCs w:val="32"/>
        </w:rPr>
        <w:t>。</w:t>
      </w:r>
    </w:p>
    <w:p>
      <w:pPr>
        <w:pStyle w:val="31"/>
        <w:autoSpaceDN w:val="0"/>
        <w:spacing w:line="560" w:lineRule="exact"/>
        <w:ind w:firstLineChars="200" w:firstLine="640"/>
      </w:pPr>
      <w:r>
        <w:rPr>
          <w:rFonts w:eastAsia="方正仿宋_GBK"/>
          <w:sz w:val="32"/>
          <w:szCs w:val="32"/>
        </w:rPr>
        <w:t>1.进</w:t>
      </w:r>
      <w:r>
        <w:rPr>
          <w:rFonts w:ascii="方正仿宋_GBK" w:eastAsia="方正仿宋_GBK" w:hint="eastAsia"/>
          <w:sz w:val="32"/>
          <w:szCs w:val="32"/>
        </w:rPr>
        <w:t>境动植物及其产品、动植物源性食品等展品需办理检疫审批的（</w:t>
      </w:r>
      <w:r>
        <w:rPr>
          <w:rFonts w:eastAsia="方正仿宋_GBK"/>
          <w:sz w:val="32"/>
          <w:szCs w:val="32"/>
        </w:rPr>
        <w:t>见附表2）</w:t>
      </w:r>
      <w:r>
        <w:rPr>
          <w:rFonts w:ascii="方正仿宋_GBK" w:eastAsia="方正仿宋_GBK" w:hint="eastAsia"/>
          <w:sz w:val="32"/>
          <w:szCs w:val="32"/>
        </w:rPr>
        <w:t>，请参展人或代理公司将相关材料于展会开幕前一个月提交至长春海关动植检处或食安处，办理检疫审批手续。</w:t>
      </w:r>
    </w:p>
    <w:p>
      <w:pPr>
        <w:spacing w:line="560" w:lineRule="exact"/>
        <w:ind w:firstLineChars="200" w:firstLine="640"/>
        <w:rPr>
          <w:rFonts w:eastAsia="方正仿宋_GBK"/>
          <w:sz w:val="32"/>
          <w:szCs w:val="32"/>
        </w:rPr>
      </w:pPr>
      <w:r>
        <w:rPr>
          <w:rFonts w:ascii="方正仿宋_GBK" w:eastAsia="方正仿宋_GBK" w:hint="eastAsia"/>
          <w:sz w:val="32"/>
          <w:szCs w:val="32"/>
        </w:rPr>
        <w:t>展览品应当符合《</w:t>
      </w:r>
      <w:r>
        <w:rPr>
          <w:rFonts w:eastAsia="方正仿宋_GBK"/>
          <w:sz w:val="32"/>
          <w:szCs w:val="32"/>
        </w:rPr>
        <w:t>202</w:t>
      </w:r>
      <w:r>
        <w:rPr>
          <w:rFonts w:eastAsia="方正仿宋_GBK" w:hint="eastAsia"/>
          <w:sz w:val="32"/>
          <w:szCs w:val="32"/>
        </w:rPr>
        <w:t>3</w:t>
      </w:r>
      <w:r>
        <w:rPr>
          <w:rFonts w:eastAsia="方正仿宋_GBK"/>
          <w:sz w:val="32"/>
          <w:szCs w:val="32"/>
        </w:rPr>
        <w:t>年中国-东北亚博览会检验检疫禁止清单》和《202</w:t>
      </w:r>
      <w:r>
        <w:rPr>
          <w:rFonts w:eastAsia="方正仿宋_GBK" w:hint="eastAsia"/>
          <w:sz w:val="32"/>
          <w:szCs w:val="32"/>
        </w:rPr>
        <w:t>3</w:t>
      </w:r>
      <w:r>
        <w:rPr>
          <w:rFonts w:eastAsia="方正仿宋_GBK"/>
          <w:sz w:val="32"/>
          <w:szCs w:val="32"/>
        </w:rPr>
        <w:t>年中国-东北亚博览会检验检疫限制清单》（见附表3、4）</w:t>
      </w:r>
    </w:p>
    <w:p>
      <w:pPr>
        <w:spacing w:line="560" w:lineRule="exact"/>
        <w:ind w:firstLineChars="200" w:firstLine="640"/>
        <w:rPr>
          <w:rFonts w:eastAsia="方正仿宋_GBK"/>
          <w:sz w:val="32"/>
          <w:szCs w:val="32"/>
        </w:rPr>
      </w:pPr>
      <w:r>
        <w:rPr>
          <w:rFonts w:eastAsia="方正仿宋_GBK"/>
          <w:sz w:val="32"/>
          <w:szCs w:val="32"/>
        </w:rPr>
        <w:t>个人携带物品应当符合《出入境人员携带物检疫管理办法》（见附表5）和《中华人民共和国禁止携带、邮寄进境的动植物及其产品名录》要求（见附表6）。</w:t>
      </w:r>
    </w:p>
    <w:p>
      <w:pPr>
        <w:spacing w:line="560" w:lineRule="exact"/>
        <w:ind w:firstLineChars="200" w:firstLine="640"/>
        <w:rPr>
          <w:rFonts w:ascii="方正仿宋_GBK" w:eastAsia="方正仿宋_GBK"/>
          <w:sz w:val="32"/>
          <w:szCs w:val="32"/>
        </w:rPr>
      </w:pPr>
      <w:r>
        <w:rPr>
          <w:rFonts w:eastAsia="方正仿宋_GBK"/>
          <w:sz w:val="32"/>
          <w:szCs w:val="32"/>
        </w:rPr>
        <w:t>2.对部</w:t>
      </w:r>
      <w:r>
        <w:rPr>
          <w:rFonts w:ascii="方正仿宋_GBK" w:eastAsia="方正仿宋_GBK" w:hint="eastAsia"/>
          <w:sz w:val="32"/>
          <w:szCs w:val="32"/>
        </w:rPr>
        <w:t>分免予办理强制性产品认证的进口汽车零部件试点实施“先声明后验证”的便利化措施。属于</w:t>
      </w:r>
      <w:r>
        <w:rPr>
          <w:rFonts w:ascii="方正仿宋_GBK" w:eastAsia="方正仿宋_GBK" w:hint="eastAsia"/>
          <w:bCs/>
          <w:color w:val="000000"/>
          <w:sz w:val="32"/>
          <w:szCs w:val="32"/>
        </w:rPr>
        <w:t>免予</w:t>
      </w:r>
      <w:r>
        <w:rPr>
          <w:rFonts w:ascii="方正仿宋_GBK" w:eastAsia="方正仿宋_GBK" w:hint="eastAsia"/>
          <w:sz w:val="32"/>
          <w:szCs w:val="32"/>
        </w:rPr>
        <w:t>办理强制性产品认证范围的进口汽车零部件（见附</w:t>
      </w:r>
      <w:r>
        <w:rPr>
          <w:rFonts w:ascii="方正仿宋_GBK" w:eastAsia="方正仿宋_GBK"/>
          <w:sz w:val="32"/>
          <w:szCs w:val="32"/>
        </w:rPr>
        <w:t>表</w:t>
      </w:r>
      <w:r>
        <w:rPr>
          <w:rFonts w:eastAsia="方正仿宋_GBK"/>
          <w:sz w:val="32"/>
          <w:szCs w:val="32"/>
        </w:rPr>
        <w:t>7</w:t>
      </w:r>
      <w:r>
        <w:rPr>
          <w:rFonts w:ascii="方正仿宋_GBK" w:eastAsia="方正仿宋_GBK" w:hint="eastAsia"/>
          <w:sz w:val="32"/>
          <w:szCs w:val="32"/>
        </w:rPr>
        <w:t>），可凭市场监督管理部门签发的《</w:t>
      </w:r>
      <w:r>
        <w:rPr>
          <w:rFonts w:ascii="方正仿宋_GBK" w:eastAsia="方正仿宋_GBK" w:hint="eastAsia"/>
          <w:bCs/>
          <w:color w:val="000000"/>
          <w:sz w:val="32"/>
          <w:szCs w:val="32"/>
        </w:rPr>
        <w:t>免予</w:t>
      </w:r>
      <w:r>
        <w:rPr>
          <w:rFonts w:ascii="方正仿宋_GBK" w:eastAsia="方正仿宋_GBK" w:hint="eastAsia"/>
          <w:sz w:val="32"/>
          <w:szCs w:val="32"/>
        </w:rPr>
        <w:t>办理强制性产品认证证明》（以下简称《免办证明》）或收货人出具的《</w:t>
      </w:r>
      <w:r>
        <w:rPr>
          <w:rFonts w:ascii="方正仿宋_GBK" w:eastAsia="方正仿宋_GBK" w:hint="eastAsia"/>
          <w:bCs/>
          <w:color w:val="000000"/>
          <w:sz w:val="32"/>
          <w:szCs w:val="32"/>
        </w:rPr>
        <w:t>免予</w:t>
      </w:r>
      <w:r>
        <w:rPr>
          <w:rFonts w:ascii="方正仿宋_GBK" w:eastAsia="方正仿宋_GBK" w:hint="eastAsia"/>
          <w:sz w:val="32"/>
          <w:szCs w:val="32"/>
        </w:rPr>
        <w:t>办理强制性产品认证自我声明》（以下简称《自我声明》）受理申报。</w:t>
      </w:r>
    </w:p>
    <w:p>
      <w:pPr>
        <w:spacing w:line="560" w:lineRule="exact"/>
        <w:ind w:firstLineChars="200" w:firstLine="640"/>
        <w:rPr>
          <w:rFonts w:ascii="方正仿宋_GBK" w:eastAsia="方正仿宋_GBK"/>
          <w:strike/>
          <w:dstrike w:val="0"/>
          <w:color w:val="FF0000"/>
          <w:sz w:val="32"/>
          <w:szCs w:val="32"/>
        </w:rPr>
      </w:pPr>
      <w:r>
        <w:rPr>
          <w:rFonts w:ascii="方正仿宋_GBK" w:eastAsia="方正仿宋_GBK" w:hint="eastAsia"/>
          <w:sz w:val="32"/>
          <w:szCs w:val="32"/>
        </w:rPr>
        <w:t>对于凭《自我声明》申报的进口汽车零部件产品，企业在承诺期</w:t>
      </w:r>
      <w:r>
        <w:rPr>
          <w:rFonts w:eastAsia="方正仿宋_GBK"/>
          <w:sz w:val="32"/>
          <w:szCs w:val="32"/>
        </w:rPr>
        <w:t>14</w:t>
      </w:r>
      <w:r>
        <w:rPr>
          <w:rFonts w:ascii="方正仿宋_GBK" w:eastAsia="方正仿宋_GBK" w:hint="eastAsia"/>
          <w:sz w:val="32"/>
          <w:szCs w:val="32"/>
        </w:rPr>
        <w:t>日内补办《免办证明》</w:t>
      </w:r>
      <w:r>
        <w:rPr>
          <w:rFonts w:ascii="方正仿宋_GBK" w:eastAsia="方正仿宋_GBK"/>
          <w:sz w:val="32"/>
          <w:szCs w:val="32"/>
        </w:rPr>
        <w:t>。</w:t>
      </w:r>
      <w:r>
        <w:rPr>
          <w:rFonts w:ascii="方正仿宋_GBK" w:eastAsia="方正仿宋_GBK" w:hint="eastAsia"/>
          <w:sz w:val="32"/>
          <w:szCs w:val="32"/>
        </w:rPr>
        <w:t>对《自我声明》未获得《免办证明》的，长春兴隆海关实施退运或者销毁处理。</w:t>
      </w:r>
    </w:p>
    <w:p>
      <w:pPr>
        <w:pStyle w:val="20"/>
        <w:autoSpaceDN w:val="0"/>
        <w:spacing w:line="560" w:lineRule="exact"/>
        <w:ind w:firstLineChars="200" w:firstLine="640"/>
      </w:pPr>
      <w:r>
        <w:rPr>
          <w:rFonts w:eastAsia="方正仿宋_GBK"/>
          <w:sz w:val="32"/>
          <w:szCs w:val="32"/>
        </w:rPr>
        <w:t>3.</w:t>
      </w:r>
      <w:r>
        <w:rPr>
          <w:rFonts w:ascii="方正仿宋_GBK" w:eastAsia="方正仿宋_GBK" w:hint="eastAsia"/>
          <w:sz w:val="32"/>
          <w:szCs w:val="32"/>
        </w:rPr>
        <w:t>入境参展的微生物、人体组织、生物制品、血液及其制品等特殊物品的展览品需办理检疫审批</w:t>
      </w:r>
      <w:r>
        <w:rPr>
          <w:rFonts w:ascii="方正仿宋_GBK" w:eastAsia="方正仿宋_GBK"/>
          <w:sz w:val="32"/>
          <w:szCs w:val="32"/>
        </w:rPr>
        <w:t>的</w:t>
      </w:r>
      <w:r>
        <w:rPr>
          <w:rFonts w:ascii="方正仿宋_GBK" w:eastAsia="方正仿宋_GBK" w:hint="eastAsia"/>
          <w:sz w:val="32"/>
          <w:szCs w:val="32"/>
        </w:rPr>
        <w:t>，入境前参展商提出申请（在系统上提交），具体提交材料参见海关总署“出入境特殊物品卫生检疫行政审批”公示内容。</w:t>
      </w:r>
      <w:r>
        <w:rPr>
          <w:rFonts w:eastAsia="方正仿宋_GBK" w:hint="eastAsia"/>
          <w:sz w:val="32"/>
          <w:szCs w:val="32"/>
        </w:rPr>
        <w:t>经海关审批许可后，签发《特殊物品出入境卫生检疫审批单》</w:t>
      </w:r>
      <w:r>
        <w:rPr>
          <w:rFonts w:ascii="方正仿宋_GBK" w:eastAsia="方正仿宋_GBK" w:hint="eastAsia"/>
          <w:sz w:val="32"/>
          <w:szCs w:val="32"/>
        </w:rPr>
        <w:t>，海关对入境的特殊物品实施卫生检疫查验，经检疫合格后方准入境，监管等级</w:t>
      </w:r>
      <w:r>
        <w:rPr>
          <w:rFonts w:eastAsia="方正仿宋_GBK"/>
          <w:sz w:val="32"/>
          <w:szCs w:val="32"/>
        </w:rPr>
        <w:t>为A、B</w:t>
      </w:r>
      <w:r>
        <w:rPr>
          <w:rFonts w:ascii="方正仿宋_GBK" w:eastAsia="方正仿宋_GBK" w:hint="eastAsia"/>
          <w:sz w:val="32"/>
          <w:szCs w:val="32"/>
        </w:rPr>
        <w:t>级的特殊物品展览现场必须具备相关生物安全控制条件。</w:t>
      </w:r>
    </w:p>
    <w:p>
      <w:pPr>
        <w:spacing w:line="560" w:lineRule="exact"/>
        <w:ind w:firstLineChars="200" w:firstLine="640"/>
        <w:rPr>
          <w:rFonts w:ascii="方正黑体_GBK" w:eastAsia="方正黑体_GBK"/>
          <w:sz w:val="32"/>
          <w:szCs w:val="32"/>
        </w:rPr>
      </w:pPr>
      <w:r>
        <w:rPr>
          <w:rFonts w:ascii="方正黑体_GBK" w:eastAsia="方正黑体_GBK" w:hint="eastAsia"/>
          <w:sz w:val="32"/>
          <w:szCs w:val="32"/>
        </w:rPr>
        <w:t>二、进口展览品的报关流程</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针对本次博览会的进口展览品有两种通关模式，一是“一站式”通关，二是全国通关一体化通关，企业可以根据实际情况自主选择。</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（一）“一站式”通关模式下，由长春兴隆海关负责办理报关、查验放行等工作，以下通关环节所涉及的海关税款均由省政府出具保函，海关凭保放行。具体流程如下：</w:t>
      </w:r>
    </w:p>
    <w:p>
      <w:pPr>
        <w:spacing w:line="560" w:lineRule="exact"/>
        <w:ind w:firstLineChars="200" w:firstLine="640"/>
        <w:rPr>
          <w:rFonts w:ascii="方正仿宋_GBK" w:eastAsia="方正仿宋_GBK"/>
          <w:sz w:val="32"/>
          <w:szCs w:val="32"/>
        </w:rPr>
      </w:pPr>
      <w:r>
        <w:rPr>
          <w:rFonts w:eastAsia="方正仿宋_GBK"/>
          <w:sz w:val="32"/>
          <w:szCs w:val="32"/>
        </w:rPr>
        <w:t>1.</w:t>
      </w:r>
      <w:r>
        <w:rPr>
          <w:rFonts w:ascii="方正仿宋_GBK" w:eastAsia="方正仿宋_GBK" w:hint="eastAsia"/>
          <w:sz w:val="32"/>
          <w:szCs w:val="32"/>
        </w:rPr>
        <w:t>对展会期间供消耗、散发的用品，凭海关审核认定的消耗、宣传广告品清单，以法定减免税方式报关，该清单所列的商品，企业不必办理海关减免税手续，在进口报关环节以法定减免方式报关即可予以免税放行。此类商品报关时报关单“监管方式”栏填报“展览品”，“征免性质”栏填报“其他法定”，“征免规定”栏填报“全免”，“备注栏”填报相应的消耗品审核清单编号。</w:t>
      </w:r>
    </w:p>
    <w:p>
      <w:pPr>
        <w:spacing w:line="560" w:lineRule="exact"/>
        <w:ind w:firstLine="702"/>
        <w:rPr>
          <w:rFonts w:ascii="方正仿宋_GBK" w:eastAsia="方正仿宋_GBK"/>
          <w:sz w:val="32"/>
          <w:szCs w:val="32"/>
        </w:rPr>
      </w:pPr>
      <w:r>
        <w:rPr>
          <w:rFonts w:eastAsia="方正仿宋_GBK"/>
          <w:sz w:val="32"/>
          <w:szCs w:val="32"/>
        </w:rPr>
        <w:t>2.</w:t>
      </w:r>
      <w:r>
        <w:rPr>
          <w:rFonts w:ascii="方正仿宋_GBK" w:eastAsia="方正仿宋_GBK" w:hint="eastAsia"/>
          <w:sz w:val="32"/>
          <w:szCs w:val="32"/>
        </w:rPr>
        <w:t>第十四届东博会展期内销售的</w:t>
      </w:r>
      <w:r>
        <w:rPr>
          <w:rFonts w:ascii="方正仿宋_GBK" w:eastAsia="方正仿宋_GBK"/>
          <w:sz w:val="32"/>
          <w:szCs w:val="32"/>
        </w:rPr>
        <w:t>免税额度内的进口展品免征进口关税和进口环节增值税、消费税（见附表</w:t>
      </w:r>
      <w:r>
        <w:rPr>
          <w:rFonts w:eastAsia="方正仿宋_GBK"/>
          <w:sz w:val="32"/>
          <w:szCs w:val="32"/>
        </w:rPr>
        <w:t>8</w:t>
      </w:r>
      <w:r>
        <w:rPr>
          <w:rFonts w:ascii="方正仿宋_GBK" w:eastAsia="方正仿宋_GBK"/>
          <w:sz w:val="32"/>
          <w:szCs w:val="32"/>
        </w:rPr>
        <w:t>）。享受税收优惠的展品不包括</w:t>
      </w:r>
      <w:r>
        <w:rPr>
          <w:rFonts w:ascii="方正仿宋_GBK" w:eastAsia="方正仿宋_GBK" w:hint="eastAsia"/>
          <w:sz w:val="32"/>
          <w:szCs w:val="32"/>
        </w:rPr>
        <w:t>国家禁止进口的商品、濒危动植物及其产品</w:t>
      </w:r>
      <w:r>
        <w:rPr>
          <w:rFonts w:ascii="方正仿宋_GBK" w:eastAsia="方正仿宋_GBK"/>
          <w:sz w:val="32"/>
          <w:szCs w:val="32"/>
        </w:rPr>
        <w:t>、烟、酒、汽车以及列入《进口不予免税的重大技术装备和产品目录》的商品。</w:t>
      </w:r>
    </w:p>
    <w:p>
      <w:pPr>
        <w:spacing w:line="560" w:lineRule="exact"/>
        <w:ind w:firstLine="702"/>
        <w:rPr>
          <w:rFonts w:ascii="方正仿宋_GBK" w:eastAsia="方正仿宋_GBK"/>
          <w:sz w:val="32"/>
          <w:szCs w:val="32"/>
        </w:rPr>
      </w:pPr>
      <w:r>
        <w:rPr>
          <w:rFonts w:ascii="方正仿宋_GBK" w:eastAsia="方正仿宋_GBK" w:hint="eastAsia"/>
          <w:sz w:val="32"/>
          <w:szCs w:val="32"/>
        </w:rPr>
        <w:t>企业在进口展品报关前可以持以下材料到长春绿园海关办理特定减免税的相关手续，需向海关提供的材料有：</w:t>
      </w:r>
    </w:p>
    <w:p>
      <w:pPr>
        <w:spacing w:line="560" w:lineRule="exact"/>
        <w:ind w:firstLine="702"/>
        <w:rPr>
          <w:rFonts w:eastAsia="方正仿宋_GBK"/>
          <w:sz w:val="32"/>
          <w:szCs w:val="32"/>
        </w:rPr>
      </w:pPr>
      <w:r>
        <w:rPr>
          <w:rFonts w:eastAsia="方正仿宋_GBK"/>
          <w:sz w:val="32"/>
          <w:szCs w:val="32"/>
        </w:rPr>
        <w:t>（1）进口货物征免税申请表（需组委会盖章）；</w:t>
      </w:r>
    </w:p>
    <w:p>
      <w:pPr>
        <w:spacing w:line="560" w:lineRule="exact"/>
        <w:ind w:firstLine="702"/>
        <w:rPr>
          <w:rFonts w:eastAsia="方正仿宋_GBK"/>
          <w:sz w:val="32"/>
          <w:szCs w:val="32"/>
        </w:rPr>
      </w:pPr>
      <w:r>
        <w:rPr>
          <w:rFonts w:eastAsia="方正仿宋_GBK"/>
          <w:sz w:val="32"/>
          <w:szCs w:val="32"/>
        </w:rPr>
        <w:t>（2）经长春兴隆海关备案核准的展品申报清单；</w:t>
      </w:r>
    </w:p>
    <w:p>
      <w:pPr>
        <w:spacing w:line="560" w:lineRule="exact"/>
        <w:ind w:firstLine="702"/>
        <w:rPr>
          <w:rFonts w:eastAsia="方正仿宋_GBK"/>
          <w:sz w:val="32"/>
          <w:szCs w:val="32"/>
        </w:rPr>
      </w:pPr>
      <w:r>
        <w:rPr>
          <w:rFonts w:eastAsia="方正仿宋_GBK"/>
          <w:sz w:val="32"/>
          <w:szCs w:val="32"/>
        </w:rPr>
        <w:t>（3）发票；</w:t>
      </w:r>
    </w:p>
    <w:p>
      <w:pPr>
        <w:spacing w:line="560" w:lineRule="exact"/>
        <w:ind w:firstLine="702"/>
        <w:rPr>
          <w:rFonts w:eastAsia="方正仿宋_GBK"/>
          <w:sz w:val="32"/>
          <w:szCs w:val="32"/>
        </w:rPr>
      </w:pPr>
      <w:r>
        <w:rPr>
          <w:rFonts w:eastAsia="方正仿宋_GBK"/>
          <w:sz w:val="32"/>
          <w:szCs w:val="32"/>
        </w:rPr>
        <w:t>（4）中华人民共和国海关进口货物报关单（需二次报关时提供）；</w:t>
      </w:r>
    </w:p>
    <w:p>
      <w:pPr>
        <w:spacing w:line="560" w:lineRule="exact"/>
        <w:ind w:firstLine="702"/>
        <w:rPr>
          <w:rFonts w:eastAsia="方正仿宋_GBK"/>
          <w:sz w:val="32"/>
          <w:szCs w:val="32"/>
        </w:rPr>
      </w:pPr>
      <w:r>
        <w:rPr>
          <w:rFonts w:eastAsia="方正仿宋_GBK"/>
          <w:sz w:val="32"/>
          <w:szCs w:val="32"/>
        </w:rPr>
        <w:t>（5）经贸促会确认的，展商在展会期间开具的销售凭证。</w:t>
      </w:r>
    </w:p>
    <w:p>
      <w:pPr>
        <w:spacing w:line="560" w:lineRule="exact"/>
        <w:ind w:firstLine="702"/>
        <w:rPr>
          <w:rFonts w:ascii="方正仿宋_GBK" w:eastAsia="方正仿宋_GBK"/>
          <w:sz w:val="32"/>
          <w:szCs w:val="32"/>
        </w:rPr>
      </w:pPr>
      <w:r>
        <w:rPr>
          <w:rFonts w:eastAsia="方正仿宋_GBK"/>
          <w:sz w:val="32"/>
          <w:szCs w:val="32"/>
        </w:rPr>
        <w:t>（6）</w:t>
      </w:r>
      <w:r>
        <w:rPr>
          <w:rFonts w:ascii="方正仿宋_GBK" w:eastAsia="方正仿宋_GBK" w:hint="eastAsia"/>
          <w:sz w:val="32"/>
          <w:szCs w:val="32"/>
        </w:rPr>
        <w:t>海关需要的其他单证。此类商品报关时报关单“监管方式”栏填写“一般贸易”，“征免性质”栏填写“国批减免”，“征免规定”栏填写“特案”，“备注栏”填报“东博会展品”。</w:t>
      </w:r>
    </w:p>
    <w:p>
      <w:pPr>
        <w:spacing w:line="560" w:lineRule="exact"/>
        <w:ind w:firstLine="702"/>
        <w:rPr>
          <w:rFonts w:ascii="方正仿宋_GBK" w:eastAsia="方正仿宋_GBK"/>
          <w:sz w:val="32"/>
          <w:szCs w:val="32"/>
        </w:rPr>
      </w:pPr>
      <w:r>
        <w:rPr>
          <w:rFonts w:eastAsia="方正仿宋_GBK"/>
          <w:sz w:val="32"/>
          <w:szCs w:val="32"/>
        </w:rPr>
        <w:t>3</w:t>
      </w:r>
      <w:r>
        <w:rPr>
          <w:rFonts w:ascii="方正仿宋_GBK" w:eastAsia="方正仿宋_GBK" w:hint="eastAsia"/>
          <w:sz w:val="32"/>
          <w:szCs w:val="32"/>
        </w:rPr>
        <w:t>.对海关审核批准的消耗、宣传广告品和销售品，可以在进口时分别报关并一次性清关，不用在展后办理后续二次报关和销售手续。</w:t>
      </w:r>
    </w:p>
    <w:p>
      <w:pPr>
        <w:spacing w:line="560" w:lineRule="exact"/>
        <w:ind w:firstLineChars="200" w:firstLine="640"/>
        <w:rPr>
          <w:rFonts w:ascii="方正仿宋_GBK" w:eastAsia="方正仿宋_GBK"/>
          <w:sz w:val="32"/>
          <w:szCs w:val="32"/>
        </w:rPr>
      </w:pPr>
      <w:r>
        <w:rPr>
          <w:rFonts w:eastAsia="方正仿宋_GBK"/>
          <w:sz w:val="32"/>
          <w:szCs w:val="32"/>
        </w:rPr>
        <w:t>4.</w:t>
      </w:r>
      <w:r>
        <w:rPr>
          <w:rFonts w:ascii="方正仿宋_GBK" w:eastAsia="方正仿宋_GBK"/>
          <w:sz w:val="32"/>
          <w:szCs w:val="32"/>
        </w:rPr>
        <w:t>对展期内销售的超出享受税收优惠政策的展品清单类别范围或销售额度的展品，以及展期内未销售且在展期结束后又不退运出境的展品，按照国家有关规定照章征税。</w:t>
      </w:r>
    </w:p>
    <w:p>
      <w:pPr>
        <w:spacing w:line="560" w:lineRule="exact"/>
        <w:ind w:firstLineChars="200" w:firstLine="640"/>
        <w:rPr>
          <w:rFonts w:ascii="方正仿宋_GBK" w:eastAsia="方正仿宋_GBK"/>
          <w:sz w:val="32"/>
          <w:szCs w:val="32"/>
        </w:rPr>
      </w:pPr>
      <w:r>
        <w:rPr>
          <w:rFonts w:eastAsia="方正仿宋_GBK"/>
          <w:sz w:val="32"/>
          <w:szCs w:val="32"/>
        </w:rPr>
        <w:t>5.</w:t>
      </w:r>
      <w:r>
        <w:rPr>
          <w:rFonts w:ascii="方正仿宋_GBK" w:eastAsia="方正仿宋_GBK" w:hint="eastAsia"/>
          <w:sz w:val="32"/>
          <w:szCs w:val="32"/>
        </w:rPr>
        <w:t>需要转展、退运或无法确定展后流向的展品，以暂时进出口方式报关，待展会结束后再按不同的展品流向办理后续报关及清关手续。此类商品进口报关时报关单“监管方式”栏填报“展览品”，“征免性质”栏填报“其他法定”，“征免规定”栏填报“保函”。</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（二）全国通关一体化模式下，以一般贸易方式进境的展览品无需办理转关手续即可在全国各口岸海关查验放行。</w:t>
      </w:r>
    </w:p>
    <w:p>
      <w:pPr>
        <w:spacing w:line="560" w:lineRule="exact"/>
        <w:ind w:firstLineChars="200" w:firstLine="640"/>
        <w:rPr>
          <w:rFonts w:ascii="方正仿宋_GBK" w:eastAsia="方正仿宋_GBK"/>
          <w:sz w:val="32"/>
          <w:szCs w:val="32"/>
        </w:rPr>
      </w:pPr>
      <w:r>
        <w:rPr>
          <w:rFonts w:eastAsia="方正仿宋_GBK"/>
          <w:sz w:val="32"/>
          <w:szCs w:val="32"/>
        </w:rPr>
        <w:t>1.对</w:t>
      </w:r>
      <w:r>
        <w:rPr>
          <w:rFonts w:ascii="方正仿宋_GBK" w:eastAsia="方正仿宋_GBK" w:hint="eastAsia"/>
          <w:sz w:val="32"/>
          <w:szCs w:val="32"/>
        </w:rPr>
        <w:t>入境后原集装箱原封转运至展会举办地的展品，入境口岸海关根据规定办理，后续监管工作由长春兴隆海关负责。</w:t>
      </w:r>
    </w:p>
    <w:p>
      <w:pPr>
        <w:spacing w:line="560" w:lineRule="exact"/>
        <w:ind w:firstLineChars="200" w:firstLine="640"/>
        <w:rPr>
          <w:rFonts w:ascii="方正仿宋_GBK" w:eastAsia="方正仿宋_GBK"/>
          <w:sz w:val="32"/>
          <w:szCs w:val="32"/>
        </w:rPr>
      </w:pPr>
      <w:r>
        <w:rPr>
          <w:rFonts w:eastAsia="方正仿宋_GBK"/>
          <w:sz w:val="32"/>
          <w:szCs w:val="32"/>
        </w:rPr>
        <w:t>2.</w:t>
      </w:r>
      <w:r>
        <w:rPr>
          <w:rFonts w:ascii="方正仿宋_GBK" w:eastAsia="方正仿宋_GBK" w:hint="eastAsia"/>
          <w:sz w:val="32"/>
          <w:szCs w:val="32"/>
        </w:rPr>
        <w:t>对散装和入境后需开箱卸货后再装运至展会举办地的展品，由口岸海关对展品、集装箱、包装物及铺垫材料根据规定办理，后续监管工作由长春兴隆海关负责。</w:t>
      </w:r>
    </w:p>
    <w:p>
      <w:pPr>
        <w:spacing w:line="560" w:lineRule="exact"/>
        <w:ind w:firstLineChars="200" w:firstLine="640"/>
        <w:rPr>
          <w:rFonts w:ascii="方正黑体_GBK" w:eastAsia="方正黑体_GBK"/>
          <w:sz w:val="32"/>
          <w:szCs w:val="32"/>
        </w:rPr>
      </w:pPr>
      <w:r>
        <w:rPr>
          <w:rFonts w:ascii="方正黑体_GBK" w:eastAsia="方正黑体_GBK" w:hint="eastAsia"/>
          <w:sz w:val="32"/>
          <w:szCs w:val="32"/>
        </w:rPr>
        <w:t>三、展览会期间的驻场监管</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驻场监管工作由长春兴隆海关负责。主场运输服务商以及参展商应当遵守海关对展览品展示、销售的管理规定，配合海关做好监管工作。</w:t>
      </w:r>
    </w:p>
    <w:p>
      <w:pPr>
        <w:spacing w:line="560" w:lineRule="exact"/>
        <w:ind w:firstLineChars="196" w:firstLine="627"/>
        <w:rPr>
          <w:rFonts w:ascii="方正黑体_GBK" w:eastAsia="方正黑体_GBK"/>
          <w:sz w:val="32"/>
          <w:szCs w:val="32"/>
        </w:rPr>
      </w:pPr>
      <w:r>
        <w:rPr>
          <w:rFonts w:ascii="方正黑体_GBK" w:eastAsia="方正黑体_GBK" w:hint="eastAsia"/>
          <w:sz w:val="32"/>
          <w:szCs w:val="32"/>
        </w:rPr>
        <w:t>四、</w:t>
      </w:r>
      <w:r>
        <w:rPr>
          <w:rFonts w:ascii="方正黑体_GBK" w:eastAsia="方正黑体_GBK" w:hint="eastAsia"/>
          <w:spacing w:val="-4"/>
          <w:sz w:val="32"/>
          <w:szCs w:val="32"/>
        </w:rPr>
        <w:t>展览品的展后</w:t>
      </w:r>
      <w:r>
        <w:rPr>
          <w:rFonts w:ascii="方正黑体_GBK" w:eastAsia="方正黑体_GBK" w:hint="eastAsia"/>
          <w:sz w:val="32"/>
          <w:szCs w:val="32"/>
        </w:rPr>
        <w:t>核销结案</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展览会以暂时进口方式报关进口的展品是海关监管货物，在展览会闭幕后，办展人或其代理人应根据展览品留购、退运、放弃、赠送、转展、消耗等不同的流向情况，提交相应的货物清单，及时向长春兴隆海关办理展览品后续结案核销手续。</w:t>
      </w:r>
    </w:p>
    <w:p>
      <w:pPr>
        <w:spacing w:line="560" w:lineRule="exact"/>
        <w:ind w:firstLineChars="200" w:firstLine="640"/>
        <w:rPr>
          <w:rFonts w:ascii="方正仿宋_GBK" w:eastAsia="方正仿宋_GBK"/>
          <w:sz w:val="32"/>
          <w:szCs w:val="32"/>
        </w:rPr>
      </w:pPr>
      <w:r>
        <w:rPr>
          <w:rFonts w:eastAsia="方正仿宋_GBK"/>
          <w:sz w:val="32"/>
          <w:szCs w:val="32"/>
        </w:rPr>
        <w:t>1.</w:t>
      </w:r>
      <w:r>
        <w:rPr>
          <w:rFonts w:ascii="方正仿宋_GBK" w:eastAsia="方正仿宋_GBK" w:hint="eastAsia"/>
          <w:sz w:val="32"/>
          <w:szCs w:val="32"/>
        </w:rPr>
        <w:t>转展展品：展会结束后，部分展品需运至另外地点举办展览会。办展人或其代理人需向现场海关申请并按照海关对转关运输的有关规定办理转关手续，原征保证金退还。</w:t>
      </w:r>
    </w:p>
    <w:p>
      <w:pPr>
        <w:spacing w:line="560" w:lineRule="exact"/>
        <w:ind w:firstLineChars="200" w:firstLine="640"/>
        <w:rPr>
          <w:rFonts w:ascii="方正仿宋_GBK" w:eastAsia="方正仿宋_GBK"/>
          <w:sz w:val="32"/>
          <w:szCs w:val="32"/>
        </w:rPr>
      </w:pPr>
      <w:r>
        <w:rPr>
          <w:rFonts w:eastAsia="方正仿宋_GBK"/>
          <w:sz w:val="32"/>
          <w:szCs w:val="32"/>
        </w:rPr>
        <w:t>2.</w:t>
      </w:r>
      <w:r>
        <w:rPr>
          <w:rFonts w:ascii="方正仿宋_GBK" w:eastAsia="方正仿宋_GBK" w:hint="eastAsia"/>
          <w:sz w:val="32"/>
          <w:szCs w:val="32"/>
        </w:rPr>
        <w:t>退运展品：对于需退运境外的展品，办展人或其代理人持展品退运清单到长春兴隆海关办理退运报关手续。退运出口时报关单“监管方式”栏填报“展览品”，“征免性质”栏填报“其他法定”，“征免规定”栏填报“全免”，同时在报关单关联报关单号栏填报原进口报关单编号。</w:t>
      </w:r>
    </w:p>
    <w:p>
      <w:pPr>
        <w:spacing w:line="560" w:lineRule="exact"/>
        <w:ind w:firstLineChars="196" w:firstLine="627"/>
        <w:rPr>
          <w:rFonts w:ascii="方正仿宋_GBK" w:eastAsia="方正仿宋_GBK"/>
          <w:sz w:val="32"/>
          <w:szCs w:val="32"/>
        </w:rPr>
      </w:pPr>
      <w:r>
        <w:rPr>
          <w:rFonts w:eastAsia="方正仿宋_GBK"/>
          <w:sz w:val="32"/>
          <w:szCs w:val="32"/>
        </w:rPr>
        <w:t>3.</w:t>
      </w:r>
      <w:r>
        <w:rPr>
          <w:rFonts w:ascii="方正仿宋_GBK" w:eastAsia="方正仿宋_GBK" w:hint="eastAsia"/>
          <w:sz w:val="32"/>
          <w:szCs w:val="32"/>
        </w:rPr>
        <w:t>放弃展品：对展出后放弃的展览品，办展人或其代理人应向长春兴隆海关提供参展商《放弃声明》到长春兴隆海关办理放弃物品交接手续。</w:t>
      </w:r>
    </w:p>
    <w:p>
      <w:pPr>
        <w:spacing w:line="560" w:lineRule="exact"/>
        <w:ind w:firstLineChars="196" w:firstLine="627"/>
        <w:rPr>
          <w:rFonts w:ascii="方正仿宋_GBK" w:eastAsia="方正仿宋_GBK"/>
          <w:sz w:val="32"/>
          <w:szCs w:val="32"/>
        </w:rPr>
      </w:pPr>
      <w:r>
        <w:rPr>
          <w:rFonts w:eastAsia="方正仿宋_GBK"/>
          <w:sz w:val="32"/>
          <w:szCs w:val="32"/>
        </w:rPr>
        <w:t>4.</w:t>
      </w:r>
      <w:r>
        <w:rPr>
          <w:rFonts w:ascii="方正仿宋_GBK" w:eastAsia="方正仿宋_GBK" w:hint="eastAsia"/>
          <w:sz w:val="32"/>
          <w:szCs w:val="32"/>
        </w:rPr>
        <w:t>留购和赠送展品：按照一般贸易方式进行二次报关，并办结纳税等各项海关监管手续，在报关单关联报关单号栏填报原进口报关单编号。</w:t>
      </w:r>
    </w:p>
    <w:p>
      <w:pPr>
        <w:spacing w:line="560" w:lineRule="exact"/>
        <w:ind w:firstLineChars="196" w:firstLine="627"/>
        <w:rPr>
          <w:rFonts w:ascii="方正仿宋_GBK" w:eastAsia="方正仿宋_GBK"/>
          <w:sz w:val="32"/>
          <w:szCs w:val="32"/>
        </w:rPr>
      </w:pPr>
      <w:r>
        <w:rPr>
          <w:rFonts w:eastAsia="方正仿宋_GBK"/>
          <w:sz w:val="32"/>
          <w:szCs w:val="32"/>
        </w:rPr>
        <w:t>5.</w:t>
      </w:r>
      <w:r>
        <w:rPr>
          <w:rFonts w:ascii="方正仿宋_GBK" w:eastAsia="方正仿宋_GBK" w:hint="eastAsia"/>
          <w:sz w:val="32"/>
          <w:szCs w:val="32"/>
        </w:rPr>
        <w:t>展会上消耗、销售展品：办展人或其代理人持海关审核认定的消耗品清单及按附件办理的销售品《海关征免税证明》，分别按第二部分第一条中</w:t>
      </w:r>
      <w:r>
        <w:rPr>
          <w:rFonts w:eastAsia="方正仿宋_GBK"/>
          <w:sz w:val="32"/>
          <w:szCs w:val="32"/>
        </w:rPr>
        <w:t>的1、2</w:t>
      </w:r>
      <w:r>
        <w:rPr>
          <w:rFonts w:ascii="方正仿宋_GBK" w:eastAsia="方正仿宋_GBK" w:hint="eastAsia"/>
          <w:sz w:val="32"/>
          <w:szCs w:val="32"/>
        </w:rPr>
        <w:t>种方式及时向海关办理转为正式进口的展览品的进口结关手续，在报关单关联报关单号栏填报原进口报关单编号，并向海关缴纳参展商或其代理人拖欠未缴的各项税费。</w:t>
      </w:r>
    </w:p>
    <w:p>
      <w:pPr>
        <w:spacing w:line="560" w:lineRule="exact"/>
        <w:ind w:firstLineChars="200" w:firstLine="640"/>
        <w:rPr>
          <w:rFonts w:ascii="方正黑体_GBK" w:eastAsia="方正黑体_GBK"/>
          <w:spacing w:val="-4"/>
          <w:sz w:val="32"/>
          <w:szCs w:val="32"/>
        </w:rPr>
      </w:pPr>
      <w:r>
        <w:rPr>
          <w:rFonts w:ascii="方正黑体_GBK" w:eastAsia="方正黑体_GBK" w:hint="eastAsia"/>
          <w:sz w:val="32"/>
          <w:szCs w:val="32"/>
        </w:rPr>
        <w:t>五、</w:t>
      </w:r>
      <w:r>
        <w:rPr>
          <w:rFonts w:ascii="方正黑体_GBK" w:eastAsia="方正黑体_GBK" w:hint="eastAsia"/>
          <w:spacing w:val="-4"/>
          <w:sz w:val="32"/>
          <w:szCs w:val="32"/>
        </w:rPr>
        <w:t>展览会销案</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东博会组委会或其代理人在办理完上述所有展品的结案手续后，一个月内持原暂时进口报关单及海关各种结案单证到长春兴隆海关办理展览会结案手续。</w:t>
      </w:r>
    </w:p>
    <w:p>
      <w:pPr>
        <w:spacing w:line="560" w:lineRule="exact"/>
        <w:ind w:firstLineChars="200" w:firstLine="640"/>
        <w:rPr>
          <w:rFonts w:ascii="方正黑体_GBK" w:eastAsia="方正黑体_GBK"/>
          <w:sz w:val="32"/>
          <w:szCs w:val="32"/>
        </w:rPr>
      </w:pPr>
      <w:r>
        <w:rPr>
          <w:rFonts w:ascii="方正黑体_GBK" w:eastAsia="方正黑体_GBK" w:hint="eastAsia"/>
          <w:sz w:val="32"/>
          <w:szCs w:val="32"/>
        </w:rPr>
        <w:t>六、记者采访器材</w:t>
      </w:r>
    </w:p>
    <w:p>
      <w:pPr>
        <w:spacing w:line="560" w:lineRule="exact"/>
        <w:ind w:firstLineChars="200" w:firstLine="640"/>
        <w:rPr>
          <w:rFonts w:ascii="方正仿宋_GBK" w:eastAsia="方正仿宋_GBK"/>
          <w:sz w:val="32"/>
          <w:szCs w:val="32"/>
        </w:rPr>
      </w:pPr>
      <w:r>
        <w:rPr>
          <w:rFonts w:eastAsia="方正仿宋_GBK"/>
          <w:sz w:val="32"/>
          <w:szCs w:val="32"/>
        </w:rPr>
        <w:t>东博会暂时进境的境外记者采访器材，海关按照海关总署公告2008年第104号、2009年第19号、2009年第31号的有关规定办理通关手续</w:t>
      </w:r>
      <w:r>
        <w:rPr>
          <w:rFonts w:ascii="方正仿宋_GBK" w:eastAsia="方正仿宋_GBK" w:hint="eastAsia"/>
          <w:sz w:val="32"/>
          <w:szCs w:val="32"/>
        </w:rPr>
        <w:t>。</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东博会进出境物资未按规定办理海关手续的，海关根据《中华人民共和国海关行政处罚实施条例》等有关规定予以处理。</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本须知未列明事项按相关法律法规办理，且不影响海关新法规的执行。</w:t>
      </w:r>
    </w:p>
    <w:p>
      <w:pPr>
        <w:spacing w:line="560" w:lineRule="exact"/>
        <w:rPr>
          <w:rFonts w:ascii="方正仿宋_GBK" w:eastAsia="方正仿宋_GBK"/>
          <w:sz w:val="32"/>
          <w:szCs w:val="32"/>
        </w:rPr>
      </w:pPr>
    </w:p>
    <w:p>
      <w:pPr>
        <w:spacing w:line="560" w:lineRule="exact"/>
        <w:rPr>
          <w:rFonts w:ascii="方正仿宋_GBK" w:eastAsia="方正仿宋_GBK"/>
          <w:sz w:val="32"/>
          <w:szCs w:val="32"/>
        </w:rPr>
      </w:pPr>
    </w:p>
    <w:p>
      <w:pPr>
        <w:spacing w:line="560" w:lineRule="exact"/>
        <w:rPr>
          <w:rFonts w:ascii="方正仿宋_GBK" w:eastAsia="方正仿宋_GBK"/>
          <w:sz w:val="32"/>
          <w:szCs w:val="32"/>
        </w:rPr>
      </w:pPr>
    </w:p>
    <w:p>
      <w:pPr>
        <w:spacing w:line="560" w:lineRule="exact"/>
        <w:rPr>
          <w:rFonts w:ascii="方正仿宋_GBK" w:eastAsia="方正仿宋_GBK"/>
          <w:sz w:val="32"/>
          <w:szCs w:val="32"/>
        </w:rPr>
      </w:pPr>
    </w:p>
    <w:p>
      <w:pPr>
        <w:spacing w:line="560" w:lineRule="exact"/>
        <w:rPr>
          <w:rFonts w:ascii="方正仿宋_GBK" w:eastAsia="方正仿宋_GBK"/>
          <w:sz w:val="32"/>
          <w:szCs w:val="32"/>
        </w:rPr>
      </w:pPr>
    </w:p>
    <w:p>
      <w:pPr>
        <w:spacing w:line="560" w:lineRule="exact"/>
        <w:rPr>
          <w:rFonts w:ascii="方正仿宋_GBK" w:eastAsia="方正仿宋_GBK"/>
          <w:sz w:val="32"/>
          <w:szCs w:val="32"/>
        </w:rPr>
      </w:pPr>
    </w:p>
    <w:p>
      <w:pPr>
        <w:spacing w:line="560" w:lineRule="exact"/>
        <w:rPr>
          <w:rFonts w:eastAsia="方正仿宋_GBK"/>
          <w:spacing w:val="-4"/>
          <w:sz w:val="32"/>
          <w:szCs w:val="32"/>
        </w:rPr>
      </w:pPr>
      <w:r>
        <w:rPr>
          <w:rFonts w:ascii="方正仿宋_GBK" w:eastAsia="方正仿宋_GBK" w:hint="eastAsia"/>
          <w:sz w:val="32"/>
          <w:szCs w:val="32"/>
        </w:rPr>
        <w:t xml:space="preserve">   附</w:t>
      </w:r>
      <w:r>
        <w:rPr>
          <w:rFonts w:ascii="方正仿宋_GBK" w:eastAsia="方正仿宋_GBK"/>
          <w:sz w:val="32"/>
          <w:szCs w:val="32"/>
        </w:rPr>
        <w:t>表</w:t>
      </w:r>
      <w:r>
        <w:rPr>
          <w:rFonts w:ascii="方正仿宋_GBK" w:eastAsia="方正仿宋_GBK" w:hint="eastAsia"/>
          <w:sz w:val="32"/>
          <w:szCs w:val="32"/>
        </w:rPr>
        <w:t xml:space="preserve"> :</w:t>
      </w:r>
      <w:r>
        <w:rPr>
          <w:rFonts w:eastAsia="方正仿宋_GBK"/>
          <w:sz w:val="32"/>
          <w:szCs w:val="32"/>
        </w:rPr>
        <w:t>1.《中华人民共和国暂时进出境货物管理办法》部分条款</w:t>
      </w:r>
    </w:p>
    <w:p>
      <w:pPr>
        <w:spacing w:line="560" w:lineRule="exact"/>
        <w:ind w:firstLineChars="450" w:firstLine="1404"/>
        <w:rPr>
          <w:rFonts w:ascii="方正仿宋_GBK" w:eastAsia="方正仿宋_GBK"/>
          <w:sz w:val="32"/>
          <w:szCs w:val="32"/>
        </w:rPr>
      </w:pPr>
      <w:r>
        <w:rPr>
          <w:rFonts w:eastAsia="方正仿宋_GBK"/>
          <w:spacing w:val="-4"/>
          <w:sz w:val="32"/>
          <w:szCs w:val="32"/>
        </w:rPr>
        <w:t>2.</w:t>
      </w:r>
      <w:r>
        <w:rPr>
          <w:rFonts w:eastAsia="方正仿宋_GBK"/>
          <w:sz w:val="32"/>
          <w:szCs w:val="32"/>
        </w:rPr>
        <w:t>需审批进境的动植物及其产品、特殊物品</w:t>
      </w:r>
    </w:p>
    <w:p>
      <w:pPr>
        <w:spacing w:line="560" w:lineRule="exact"/>
        <w:ind w:firstLineChars="450" w:firstLine="1440"/>
        <w:rPr>
          <w:rFonts w:eastAsia="方正仿宋_GBK"/>
          <w:sz w:val="32"/>
          <w:szCs w:val="32"/>
        </w:rPr>
      </w:pPr>
      <w:r>
        <w:rPr>
          <w:rFonts w:eastAsia="方正仿宋_GBK"/>
          <w:sz w:val="32"/>
          <w:szCs w:val="32"/>
        </w:rPr>
        <w:t>3. 202</w:t>
      </w:r>
      <w:r>
        <w:rPr>
          <w:rFonts w:eastAsia="方正仿宋_GBK" w:hint="eastAsia"/>
          <w:sz w:val="32"/>
          <w:szCs w:val="32"/>
        </w:rPr>
        <w:t>3</w:t>
      </w:r>
      <w:r>
        <w:rPr>
          <w:rFonts w:eastAsia="方正仿宋_GBK"/>
          <w:sz w:val="32"/>
          <w:szCs w:val="32"/>
        </w:rPr>
        <w:t>年中国-东北亚博览会检验检疫禁止清单</w:t>
      </w:r>
    </w:p>
    <w:p>
      <w:pPr>
        <w:spacing w:line="560" w:lineRule="exact"/>
        <w:ind w:firstLineChars="450" w:firstLine="1440"/>
        <w:rPr>
          <w:rFonts w:eastAsia="方正仿宋_GBK"/>
          <w:sz w:val="32"/>
          <w:szCs w:val="32"/>
        </w:rPr>
      </w:pPr>
      <w:r>
        <w:rPr>
          <w:rFonts w:eastAsia="方正仿宋_GBK"/>
          <w:sz w:val="32"/>
          <w:szCs w:val="32"/>
        </w:rPr>
        <w:t>4.202</w:t>
      </w:r>
      <w:r>
        <w:rPr>
          <w:rFonts w:eastAsia="方正仿宋_GBK" w:hint="eastAsia"/>
          <w:sz w:val="32"/>
          <w:szCs w:val="32"/>
        </w:rPr>
        <w:t>3</w:t>
      </w:r>
      <w:r>
        <w:rPr>
          <w:rFonts w:eastAsia="方正仿宋_GBK"/>
          <w:sz w:val="32"/>
          <w:szCs w:val="32"/>
        </w:rPr>
        <w:t>年中国-东北亚博览会检验检疫限制清单</w:t>
      </w:r>
    </w:p>
    <w:p>
      <w:pPr>
        <w:spacing w:line="560" w:lineRule="exact"/>
        <w:ind w:firstLineChars="450" w:firstLine="1440"/>
        <w:rPr>
          <w:rFonts w:eastAsia="方正仿宋_GBK"/>
          <w:sz w:val="32"/>
          <w:szCs w:val="32"/>
        </w:rPr>
      </w:pPr>
      <w:r>
        <w:rPr>
          <w:rFonts w:eastAsia="方正仿宋_GBK"/>
          <w:sz w:val="32"/>
          <w:szCs w:val="32"/>
        </w:rPr>
        <w:t>5.出入境人员携带物检疫管理办法</w:t>
      </w:r>
    </w:p>
    <w:p>
      <w:pPr>
        <w:spacing w:line="560" w:lineRule="exact"/>
        <w:ind w:firstLineChars="450" w:firstLine="1440"/>
        <w:rPr>
          <w:rFonts w:eastAsia="方正仿宋_GBK"/>
          <w:sz w:val="32"/>
          <w:szCs w:val="32"/>
        </w:rPr>
      </w:pPr>
      <w:r>
        <w:rPr>
          <w:rFonts w:eastAsia="方正仿宋_GBK"/>
          <w:sz w:val="32"/>
          <w:szCs w:val="32"/>
        </w:rPr>
        <w:t>6.中华人民共和国禁止携带、邮寄进境的动植物及其产品名录</w:t>
      </w:r>
    </w:p>
    <w:p>
      <w:pPr>
        <w:spacing w:line="560" w:lineRule="exact"/>
        <w:ind w:firstLineChars="450" w:firstLine="1440"/>
        <w:rPr>
          <w:rFonts w:eastAsia="方正仿宋_GBK"/>
          <w:sz w:val="32"/>
          <w:szCs w:val="32"/>
        </w:rPr>
      </w:pPr>
      <w:r>
        <w:rPr>
          <w:rFonts w:eastAsia="方正仿宋_GBK"/>
          <w:sz w:val="32"/>
          <w:szCs w:val="32"/>
        </w:rPr>
        <w:t>7. 涉及免予办理强制性产品认证的进口汽车零部件HS编码范围</w:t>
      </w:r>
    </w:p>
    <w:p>
      <w:pPr>
        <w:spacing w:line="560" w:lineRule="exact"/>
        <w:ind w:firstLineChars="450" w:firstLine="1440"/>
        <w:rPr>
          <w:rFonts w:eastAsia="方正仿宋_GBK"/>
          <w:sz w:val="32"/>
          <w:szCs w:val="32"/>
        </w:rPr>
      </w:pPr>
      <w:r>
        <w:rPr>
          <w:rFonts w:eastAsia="方正仿宋_GBK"/>
          <w:sz w:val="32"/>
          <w:szCs w:val="32"/>
        </w:rPr>
        <w:t xml:space="preserve">8. </w:t>
      </w:r>
      <w:r>
        <w:rPr>
          <w:rFonts w:ascii="方正仿宋_GBK" w:eastAsia="方正仿宋_GBK" w:hint="eastAsia"/>
          <w:sz w:val="32"/>
          <w:szCs w:val="32"/>
        </w:rPr>
        <w:t>“</w:t>
      </w:r>
      <w:r>
        <w:rPr>
          <w:rFonts w:eastAsia="方正仿宋_GBK"/>
          <w:sz w:val="32"/>
          <w:szCs w:val="32"/>
        </w:rPr>
        <w:t>十四五</w:t>
      </w:r>
      <w:r>
        <w:rPr>
          <w:rFonts w:ascii="方正仿宋_GBK" w:eastAsia="方正仿宋_GBK" w:hint="eastAsia"/>
          <w:sz w:val="32"/>
          <w:szCs w:val="32"/>
        </w:rPr>
        <w:t>”</w:t>
      </w:r>
      <w:r>
        <w:rPr>
          <w:rFonts w:eastAsia="方正仿宋_GBK"/>
          <w:sz w:val="32"/>
          <w:szCs w:val="32"/>
        </w:rPr>
        <w:t>期间中国－东北亚博览会享受税收优惠政策的展品清单</w:t>
      </w: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p>
    <w:p>
      <w:pPr>
        <w:spacing w:line="560" w:lineRule="exact"/>
        <w:rPr>
          <w:rFonts w:ascii="方正黑体_GBK" w:eastAsia="方正黑体_GBK"/>
          <w:sz w:val="32"/>
          <w:szCs w:val="32"/>
        </w:rPr>
      </w:pPr>
      <w:r>
        <w:rPr>
          <w:rFonts w:ascii="方正黑体_GBK" w:eastAsia="方正黑体_GBK" w:hint="eastAsia"/>
          <w:sz w:val="32"/>
          <w:szCs w:val="32"/>
        </w:rPr>
        <w:t>附</w:t>
      </w:r>
      <w:r>
        <w:rPr>
          <w:rFonts w:ascii="方正黑体_GBK" w:eastAsia="方正黑体_GBK"/>
          <w:sz w:val="32"/>
          <w:szCs w:val="32"/>
        </w:rPr>
        <w:t>表</w:t>
      </w:r>
      <w:r>
        <w:rPr>
          <w:rFonts w:ascii="方正黑体_GBK" w:eastAsia="方正黑体_GBK" w:hint="eastAsia"/>
          <w:sz w:val="32"/>
          <w:szCs w:val="32"/>
        </w:rPr>
        <w:t>1</w:t>
      </w:r>
    </w:p>
    <w:p>
      <w:pPr>
        <w:spacing w:line="560" w:lineRule="exact"/>
        <w:rPr>
          <w:rFonts w:ascii="方正仿宋_GBK" w:eastAsia="方正仿宋_GBK"/>
          <w:sz w:val="32"/>
          <w:szCs w:val="32"/>
        </w:rPr>
      </w:pPr>
    </w:p>
    <w:p>
      <w:pPr>
        <w:spacing w:line="560" w:lineRule="exact"/>
        <w:jc w:val="center"/>
        <w:rPr>
          <w:rFonts w:ascii="方正小标宋_GBK" w:eastAsia="方正小标宋_GBK"/>
          <w:spacing w:val="-4"/>
          <w:sz w:val="44"/>
          <w:szCs w:val="44"/>
        </w:rPr>
      </w:pPr>
      <w:r>
        <w:rPr>
          <w:rFonts w:ascii="方正小标宋_GBK" w:eastAsia="方正小标宋_GBK" w:hint="eastAsia"/>
          <w:spacing w:val="-4"/>
          <w:sz w:val="44"/>
          <w:szCs w:val="44"/>
        </w:rPr>
        <w:t>《中华人民共和国暂时进出境货物</w:t>
      </w:r>
    </w:p>
    <w:p>
      <w:pPr>
        <w:spacing w:line="560" w:lineRule="exact"/>
        <w:jc w:val="center"/>
        <w:rPr>
          <w:rFonts w:ascii="方正小标宋_GBK" w:eastAsia="方正小标宋_GBK"/>
          <w:spacing w:val="-4"/>
          <w:sz w:val="44"/>
          <w:szCs w:val="44"/>
        </w:rPr>
      </w:pPr>
      <w:r>
        <w:rPr>
          <w:rFonts w:ascii="方正小标宋_GBK" w:eastAsia="方正小标宋_GBK" w:hint="eastAsia"/>
          <w:spacing w:val="-4"/>
          <w:sz w:val="44"/>
          <w:szCs w:val="44"/>
        </w:rPr>
        <w:t>管理办法》</w:t>
      </w:r>
      <w:r>
        <w:rPr>
          <w:rFonts w:ascii="方正小标宋_GBK" w:eastAsia="方正小标宋_GBK"/>
          <w:spacing w:val="-4"/>
          <w:sz w:val="44"/>
          <w:szCs w:val="44"/>
        </w:rPr>
        <w:t>（部分）</w:t>
      </w:r>
    </w:p>
    <w:p>
      <w:pPr>
        <w:spacing w:line="560" w:lineRule="exact"/>
        <w:rPr>
          <w:rFonts w:ascii="方正小标宋_GBK" w:eastAsia="方正小标宋_GBK"/>
          <w:spacing w:val="-4"/>
          <w:sz w:val="44"/>
          <w:szCs w:val="44"/>
        </w:rPr>
      </w:pP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第十九条  下列在境内展览会期间供消耗、散发的用品（以下简称“展览用品”），由海关根据展览会的性质、参展商的规模、观众人数等情况，对其数量和总值进行核定，在合理范围内的，按照有关规定免征进口关税和进口环节税：</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（一）在展览活动中的小件样品，包括原装进口的或者在展览期间用进口的散装原料制成的食品或者饮料的样品；</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（二）为展出的机器或者器件进行操作示范被消耗或者损坏的物料；</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（三）布置、装饰临时展台消耗的低值货物；</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（四）展览期间免费向观众散发的有关宣传品；</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（五）供展览会使用的档案、表格以及其他文件。</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前款第（一）项所列货物，应当符合以下条件：</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（一）由参展人免费提供并且在展览期间专供免费分送给观众使用或者消费的；</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（二）单价较低，作广告样品用的；</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（三）不适用于商业用途，并且单位容量明显小于最小零售包装容量的；</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（四）食品以及饮料的样品虽未按照本款第（三）项规定的包装分发，但是确实在活动中消耗掉的。</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第二十条  展览用品中的酒精饮料、烟草制品以及燃料不适用有关免税的规定。</w:t>
      </w:r>
    </w:p>
    <w:p>
      <w:pPr>
        <w:widowControl/>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本办法第十九条第一款第（一）项所列展览用品超出限量进口的，超出部分应当依法征税；第一款第（二）项、第（三）项、第（四）项所列展览用品，未使用或者未被消耗完的，应当复运出境，不复运出境的，应当按照规定办理进口手续。</w:t>
      </w: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pStyle w:val="22"/>
        <w:autoSpaceDE w:val="0"/>
        <w:autoSpaceDN w:val="0"/>
        <w:adjustRightInd w:val="0"/>
        <w:spacing w:line="560" w:lineRule="exact"/>
        <w:rPr>
          <w:rFonts w:ascii="方正黑体_GBK" w:eastAsia="方正黑体_GBK"/>
          <w:snapToGrid w:val="0"/>
          <w:kern w:val="0"/>
          <w:sz w:val="32"/>
          <w:szCs w:val="32"/>
        </w:rPr>
      </w:pPr>
      <w:r>
        <w:rPr>
          <w:rFonts w:ascii="方正黑体_GBK" w:eastAsia="方正黑体_GBK" w:hint="eastAsia"/>
          <w:snapToGrid w:val="0"/>
          <w:kern w:val="0"/>
          <w:sz w:val="32"/>
          <w:szCs w:val="32"/>
        </w:rPr>
        <w:t>附</w:t>
      </w:r>
      <w:r>
        <w:rPr>
          <w:rFonts w:ascii="方正黑体_GBK" w:eastAsia="方正黑体_GBK"/>
          <w:snapToGrid w:val="0"/>
          <w:kern w:val="0"/>
          <w:sz w:val="32"/>
          <w:szCs w:val="32"/>
        </w:rPr>
        <w:t>表</w:t>
      </w:r>
      <w:r>
        <w:rPr>
          <w:rFonts w:ascii="方正黑体_GBK" w:eastAsia="方正黑体_GBK" w:hint="eastAsia"/>
          <w:snapToGrid w:val="0"/>
          <w:kern w:val="0"/>
          <w:sz w:val="32"/>
          <w:szCs w:val="32"/>
        </w:rPr>
        <w:t>2</w:t>
      </w:r>
    </w:p>
    <w:p>
      <w:pPr>
        <w:pStyle w:val="25"/>
        <w:adjustRightInd w:val="0"/>
        <w:snapToGrid w:val="0"/>
        <w:spacing w:line="560" w:lineRule="exact"/>
        <w:rPr>
          <w:rFonts w:ascii="仿宋" w:eastAsia="仿宋" w:cs="仿宋"/>
          <w:bCs/>
          <w:snapToGrid w:val="0"/>
          <w:kern w:val="0"/>
          <w:sz w:val="32"/>
          <w:szCs w:val="32"/>
        </w:rPr>
      </w:pPr>
    </w:p>
    <w:p>
      <w:pPr>
        <w:pStyle w:val="19"/>
        <w:tabs>
          <w:tab w:val="left" w:pos="2395"/>
        </w:tabs>
        <w:spacing w:line="560" w:lineRule="exact"/>
        <w:jc w:val="center"/>
        <w:rPr>
          <w:rFonts w:ascii="方正小标宋_GBK" w:eastAsia="方正小标宋_GBK"/>
          <w:snapToGrid w:val="0"/>
          <w:kern w:val="0"/>
          <w:sz w:val="44"/>
          <w:szCs w:val="44"/>
        </w:rPr>
      </w:pPr>
      <w:r>
        <w:rPr>
          <w:rFonts w:ascii="方正小标宋_GBK" w:eastAsia="方正小标宋_GBK" w:hint="eastAsia"/>
          <w:bCs/>
          <w:snapToGrid w:val="0"/>
          <w:kern w:val="0"/>
          <w:sz w:val="44"/>
          <w:szCs w:val="44"/>
        </w:rPr>
        <w:t>需</w:t>
      </w:r>
      <w:r>
        <w:rPr>
          <w:rFonts w:ascii="方正小标宋_GBK" w:eastAsia="方正小标宋_GBK" w:hint="eastAsia"/>
          <w:snapToGrid w:val="0"/>
          <w:kern w:val="0"/>
          <w:sz w:val="44"/>
          <w:szCs w:val="44"/>
        </w:rPr>
        <w:t>审批进境的动植物及其产品、特殊物品</w:t>
      </w:r>
    </w:p>
    <w:tbl>
      <w:tblPr>
        <w:jc w:val="left"/>
        <w:tblInd w:w="108"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368"/>
        <w:gridCol w:w="7692"/>
      </w:tblGrid>
      <w:tr>
        <w:tc>
          <w:tcPr>
            <w:tcW w:w="1368" w:type="dxa"/>
            <w:tcBorders>
              <w:top w:val="single" w:sz="4" w:space="0" w:color="auto"/>
              <w:left w:val="single" w:sz="4" w:space="0" w:color="auto"/>
              <w:bottom w:val="single" w:sz="4" w:space="0" w:color="auto"/>
              <w:right w:val="single" w:sz="4" w:space="0" w:color="auto"/>
              <w:tl2br w:val="nil"/>
              <w:tr2bl w:val="nil"/>
            </w:tcBorders>
          </w:tcPr>
          <w:p>
            <w:pPr>
              <w:pStyle w:val="20"/>
              <w:autoSpaceDE w:val="0"/>
              <w:autoSpaceDN w:val="0"/>
              <w:adjustRightInd w:val="0"/>
              <w:spacing w:line="560" w:lineRule="exact"/>
              <w:jc w:val="center"/>
              <w:rPr>
                <w:rFonts w:eastAsia="方正黑体_GBK" w:cs="Courier New"/>
                <w:snapToGrid w:val="0"/>
                <w:kern w:val="0"/>
                <w:sz w:val="32"/>
                <w:szCs w:val="32"/>
              </w:rPr>
            </w:pPr>
            <w:r>
              <w:rPr>
                <w:rFonts w:eastAsia="方正黑体_GBK" w:cs="Courier New" w:hint="eastAsia"/>
                <w:snapToGrid w:val="0"/>
                <w:kern w:val="0"/>
                <w:sz w:val="32"/>
                <w:szCs w:val="32"/>
              </w:rPr>
              <w:t>一、动物及动物产品</w:t>
            </w:r>
          </w:p>
        </w:tc>
        <w:tc>
          <w:tcPr>
            <w:tcW w:w="7692" w:type="dxa"/>
            <w:tcBorders>
              <w:top w:val="single" w:sz="4" w:space="0" w:color="auto"/>
              <w:left w:val="single" w:sz="4" w:space="0" w:color="auto"/>
              <w:bottom w:val="single" w:sz="4" w:space="0" w:color="auto"/>
              <w:right w:val="single" w:sz="4" w:space="0" w:color="auto"/>
              <w:tl2br w:val="nil"/>
              <w:tr2bl w:val="nil"/>
            </w:tcBorders>
          </w:tcPr>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a.活动物及活动物胚胎、精液、受精卵、种蛋及其他动物遗传物质；</w:t>
            </w:r>
          </w:p>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b.进口动物血清制品、疫苗和生物制品；</w:t>
            </w:r>
          </w:p>
          <w:p>
            <w:pPr>
              <w:pStyle w:val="41"/>
              <w:autoSpaceDE w:val="0"/>
              <w:autoSpaceDN w:val="0"/>
              <w:adjustRightInd w:val="0"/>
              <w:spacing w:line="560" w:lineRule="exact"/>
              <w:rPr>
                <w:rFonts w:eastAsia="方正仿宋_GBK"/>
                <w:snapToGrid w:val="0"/>
                <w:kern w:val="0"/>
                <w:sz w:val="32"/>
                <w:szCs w:val="32"/>
              </w:rPr>
            </w:pPr>
            <w:r>
              <w:rPr>
                <w:rFonts w:eastAsia="方正仿宋_GBK" w:cs="Courier New" w:hint="eastAsia"/>
                <w:snapToGrid w:val="0"/>
                <w:kern w:val="0"/>
                <w:sz w:val="32"/>
                <w:szCs w:val="32"/>
              </w:rPr>
              <w:t>c.食用性动物产品：</w:t>
            </w:r>
            <w:r>
              <w:rPr>
                <w:rFonts w:eastAsia="方正仿宋_GBK" w:hint="eastAsia"/>
                <w:snapToGrid w:val="0"/>
                <w:kern w:val="0"/>
                <w:sz w:val="32"/>
                <w:szCs w:val="32"/>
              </w:rPr>
              <w:t>肉类及其产品（含脏器、肠衣）、鲜蛋类（含食用鲜乌龟蛋、食用甲鱼蛋）、乳品（包括生乳、生乳制品、巴氏杀菌乳、巴氏杀菌工艺生产的调制乳）、水产品（包括两栖类、爬行类、水生哺乳类动物及其他养殖水产品及其非熟制加工品、日本输华水产品等）、可食用骨蹄角及其产品、动物源性中药材、燕窝等动物源性食品；</w:t>
            </w:r>
          </w:p>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d. 非食用性动物产品：生皮张类、原毛类、骨蹄角及其产品、蚕茧、血液等，含有动物成份的有机肥料。</w:t>
            </w:r>
          </w:p>
          <w:p>
            <w:pPr>
              <w:pStyle w:val="20"/>
              <w:autoSpaceDE w:val="0"/>
              <w:autoSpaceDN w:val="0"/>
              <w:adjustRightInd w:val="0"/>
              <w:spacing w:line="560" w:lineRule="exact"/>
            </w:pPr>
            <w:r>
              <w:rPr>
                <w:rFonts w:eastAsia="方正仿宋_GBK" w:cs="Courier New" w:hint="eastAsia"/>
                <w:snapToGrid w:val="0"/>
                <w:kern w:val="0"/>
                <w:sz w:val="32"/>
                <w:szCs w:val="32"/>
              </w:rPr>
              <w:t>e.饲料产品：配合饲料、饲料用（含饵料用）冰鲜冷冻动物产品、饲料用（含饵料用）水产品、加工动物蛋白及油脂、宠物食品和咬胶（罐头除外）。</w:t>
            </w:r>
          </w:p>
        </w:tc>
      </w:tr>
      <w:tr>
        <w:tc>
          <w:tcPr>
            <w:tcW w:w="1368" w:type="dxa"/>
            <w:tcBorders>
              <w:top w:val="single" w:sz="4" w:space="0" w:color="auto"/>
              <w:left w:val="single" w:sz="4" w:space="0" w:color="auto"/>
              <w:bottom w:val="single" w:sz="4" w:space="0" w:color="auto"/>
              <w:right w:val="single" w:sz="4" w:space="0" w:color="auto"/>
              <w:tl2br w:val="nil"/>
              <w:tr2bl w:val="nil"/>
            </w:tcBorders>
          </w:tcPr>
          <w:p>
            <w:pPr>
              <w:pStyle w:val="20"/>
              <w:adjustRightInd w:val="0"/>
              <w:snapToGrid w:val="0"/>
              <w:spacing w:line="560" w:lineRule="exact"/>
              <w:rPr>
                <w:rFonts w:eastAsia="方正小标宋_GBK"/>
                <w:snapToGrid w:val="0"/>
                <w:kern w:val="0"/>
                <w:sz w:val="44"/>
                <w:szCs w:val="44"/>
              </w:rPr>
            </w:pPr>
            <w:r>
              <w:rPr>
                <w:rFonts w:eastAsia="方正黑体_GBK" w:cs="Courier New" w:hint="eastAsia"/>
                <w:snapToGrid w:val="0"/>
                <w:kern w:val="0"/>
                <w:sz w:val="32"/>
                <w:szCs w:val="32"/>
              </w:rPr>
              <w:t>二、植物及植物产品</w:t>
            </w:r>
          </w:p>
        </w:tc>
        <w:tc>
          <w:tcPr>
            <w:tcW w:w="7692" w:type="dxa"/>
            <w:tcBorders>
              <w:top w:val="single" w:sz="4" w:space="0" w:color="auto"/>
              <w:left w:val="single" w:sz="4" w:space="0" w:color="auto"/>
              <w:bottom w:val="single" w:sz="4" w:space="0" w:color="auto"/>
              <w:right w:val="single" w:sz="4" w:space="0" w:color="auto"/>
              <w:tl2br w:val="nil"/>
              <w:tr2bl w:val="nil"/>
            </w:tcBorders>
          </w:tcPr>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a.种子、苗木及其他植物繁殖材料；</w:t>
            </w:r>
          </w:p>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b.果蔬类：新鲜水果、茄科类蔬菜；</w:t>
            </w:r>
          </w:p>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c.粮谷类：小麦、玉米、稻谷、大麦、黑麦、燕麦、高粱、</w:t>
            </w:r>
            <w:r>
              <w:rPr>
                <w:rFonts w:eastAsia="方正仿宋_GBK" w:cs="Courier New" w:hint="eastAsia"/>
                <w:snapToGrid w:val="0"/>
                <w:color w:val="000000"/>
                <w:kern w:val="0"/>
                <w:sz w:val="32"/>
                <w:szCs w:val="32"/>
              </w:rPr>
              <w:t>油菜籽</w:t>
            </w:r>
            <w:r>
              <w:rPr>
                <w:rFonts w:eastAsia="方正仿宋_GBK" w:cs="Courier New" w:hint="eastAsia"/>
                <w:snapToGrid w:val="0"/>
                <w:kern w:val="0"/>
                <w:sz w:val="32"/>
                <w:szCs w:val="32"/>
              </w:rPr>
              <w:t>以及其他杂粮类等；</w:t>
            </w:r>
          </w:p>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d.豆类：大豆、绿豆、豌豆、赤豆、蚕豆、鹰嘴豆以及其他杂豆类等；</w:t>
            </w:r>
          </w:p>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e.薯类：马铃薯、木薯、甘薯等及其加工产品；</w:t>
            </w:r>
          </w:p>
          <w:p>
            <w:pPr>
              <w:pStyle w:val="22"/>
              <w:autoSpaceDE w:val="0"/>
              <w:autoSpaceDN w:val="0"/>
              <w:adjustRightInd w:val="0"/>
              <w:spacing w:line="560" w:lineRule="exact"/>
              <w:rPr>
                <w:rFonts w:eastAsia="方正仿宋_GBK" w:cs="Courier New"/>
                <w:snapToGrid w:val="0"/>
                <w:color w:val="000000"/>
                <w:kern w:val="0"/>
                <w:sz w:val="32"/>
                <w:szCs w:val="32"/>
              </w:rPr>
            </w:pPr>
            <w:r>
              <w:rPr>
                <w:rFonts w:eastAsia="方正仿宋_GBK" w:cs="Courier New" w:hint="eastAsia"/>
                <w:snapToGrid w:val="0"/>
                <w:color w:val="000000"/>
                <w:kern w:val="0"/>
                <w:sz w:val="32"/>
                <w:szCs w:val="32"/>
              </w:rPr>
              <w:t>f.饲料类：麦麸、豆饼、豆粕、</w:t>
            </w:r>
            <w:r>
              <w:rPr>
                <w:rFonts w:ascii="方正仿宋_GBK" w:eastAsia="方正仿宋_GBK" w:hint="eastAsia"/>
                <w:color w:val="000000"/>
                <w:sz w:val="32"/>
                <w:szCs w:val="32"/>
              </w:rPr>
              <w:t>饲草及其他植物源性饲料</w:t>
            </w:r>
            <w:r>
              <w:rPr>
                <w:rFonts w:eastAsia="方正仿宋_GBK" w:cs="Courier New" w:hint="eastAsia"/>
                <w:snapToGrid w:val="0"/>
                <w:color w:val="000000"/>
                <w:kern w:val="0"/>
                <w:sz w:val="32"/>
                <w:szCs w:val="32"/>
              </w:rPr>
              <w:t>等；</w:t>
            </w:r>
          </w:p>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g.烟草类：烟叶及烟草薄片。</w:t>
            </w:r>
          </w:p>
          <w:p>
            <w:pPr>
              <w:pStyle w:val="22"/>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h.植物源性中药材</w:t>
            </w:r>
            <w:r>
              <w:rPr>
                <w:rFonts w:eastAsia="方正仿宋_GBK" w:cs="Courier New"/>
                <w:snapToGrid w:val="0"/>
                <w:kern w:val="0"/>
                <w:sz w:val="32"/>
                <w:szCs w:val="32"/>
              </w:rPr>
              <w:t>。</w:t>
            </w:r>
          </w:p>
          <w:p>
            <w:pPr>
              <w:pStyle w:val="20"/>
              <w:autoSpaceDE w:val="0"/>
              <w:autoSpaceDN w:val="0"/>
              <w:adjustRightInd w:val="0"/>
              <w:spacing w:line="560" w:lineRule="exact"/>
              <w:rPr>
                <w:rFonts w:eastAsia="方正仿宋_GBK" w:cs="Courier New"/>
                <w:snapToGrid w:val="0"/>
                <w:kern w:val="0"/>
                <w:sz w:val="32"/>
                <w:szCs w:val="32"/>
              </w:rPr>
            </w:pPr>
            <w:r>
              <w:rPr>
                <w:rFonts w:eastAsia="方正仿宋_GBK" w:cs="Courier New"/>
                <w:snapToGrid w:val="0"/>
                <w:kern w:val="0"/>
                <w:sz w:val="32"/>
                <w:szCs w:val="32"/>
              </w:rPr>
              <w:t>i.</w:t>
            </w:r>
            <w:r>
              <w:rPr>
                <w:rFonts w:eastAsia="方正仿宋_GBK" w:cs="Courier New" w:hint="eastAsia"/>
                <w:snapToGrid w:val="0"/>
                <w:kern w:val="0"/>
                <w:sz w:val="32"/>
                <w:szCs w:val="32"/>
              </w:rPr>
              <w:t>具有疫情疫病传播风险的植物源性食品。</w:t>
            </w:r>
          </w:p>
        </w:tc>
      </w:tr>
      <w:tr>
        <w:tc>
          <w:tcPr>
            <w:tcW w:w="1368" w:type="dxa"/>
            <w:tcBorders>
              <w:top w:val="single" w:sz="4" w:space="0" w:color="auto"/>
              <w:left w:val="single" w:sz="4" w:space="0" w:color="auto"/>
              <w:bottom w:val="single" w:sz="4" w:space="0" w:color="auto"/>
              <w:right w:val="single" w:sz="4" w:space="0" w:color="auto"/>
              <w:tl2br w:val="nil"/>
              <w:tr2bl w:val="nil"/>
            </w:tcBorders>
          </w:tcPr>
          <w:p>
            <w:pPr>
              <w:pStyle w:val="20"/>
              <w:autoSpaceDE w:val="0"/>
              <w:autoSpaceDN w:val="0"/>
              <w:adjustRightInd w:val="0"/>
              <w:spacing w:line="560" w:lineRule="exact"/>
              <w:rPr>
                <w:rFonts w:eastAsia="方正黑体_GBK" w:cs="Courier New"/>
                <w:snapToGrid w:val="0"/>
                <w:kern w:val="0"/>
                <w:sz w:val="32"/>
                <w:szCs w:val="32"/>
              </w:rPr>
            </w:pPr>
            <w:r>
              <w:rPr>
                <w:rFonts w:eastAsia="方正黑体_GBK" w:cs="Courier New" w:hint="eastAsia"/>
                <w:snapToGrid w:val="0"/>
                <w:kern w:val="0"/>
                <w:sz w:val="32"/>
                <w:szCs w:val="32"/>
              </w:rPr>
              <w:t>三、转基因动植物产品</w:t>
            </w:r>
          </w:p>
        </w:tc>
        <w:tc>
          <w:tcPr>
            <w:tcW w:w="7692" w:type="dxa"/>
            <w:tcBorders>
              <w:top w:val="single" w:sz="4" w:space="0" w:color="auto"/>
              <w:left w:val="single" w:sz="4" w:space="0" w:color="auto"/>
              <w:bottom w:val="single" w:sz="4" w:space="0" w:color="auto"/>
              <w:right w:val="single" w:sz="4" w:space="0" w:color="auto"/>
              <w:tl2br w:val="nil"/>
              <w:tr2bl w:val="nil"/>
            </w:tcBorders>
          </w:tcPr>
          <w:p>
            <w:pPr>
              <w:pStyle w:val="20"/>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涉及转基因标识目录范围的动植物产品，应声明是否“转基因”，如含转基因成份应提供农业部出具的“转基因生物安全证书”。</w:t>
            </w:r>
          </w:p>
        </w:tc>
      </w:tr>
      <w:tr>
        <w:tc>
          <w:tcPr>
            <w:tcW w:w="1368" w:type="dxa"/>
            <w:tcBorders>
              <w:top w:val="single" w:sz="4" w:space="0" w:color="auto"/>
              <w:left w:val="single" w:sz="4" w:space="0" w:color="auto"/>
              <w:bottom w:val="single" w:sz="4" w:space="0" w:color="auto"/>
              <w:right w:val="single" w:sz="4" w:space="0" w:color="auto"/>
              <w:tl2br w:val="nil"/>
              <w:tr2bl w:val="nil"/>
            </w:tcBorders>
          </w:tcPr>
          <w:p>
            <w:pPr>
              <w:pStyle w:val="20"/>
              <w:autoSpaceDE w:val="0"/>
              <w:autoSpaceDN w:val="0"/>
              <w:adjustRightInd w:val="0"/>
              <w:spacing w:line="560" w:lineRule="exact"/>
              <w:rPr>
                <w:rFonts w:eastAsia="方正黑体_GBK" w:cs="Courier New"/>
                <w:snapToGrid w:val="0"/>
                <w:kern w:val="0"/>
                <w:sz w:val="32"/>
                <w:szCs w:val="32"/>
              </w:rPr>
            </w:pPr>
            <w:r>
              <w:rPr>
                <w:rFonts w:eastAsia="方正黑体_GBK" w:cs="Courier New" w:hint="eastAsia"/>
                <w:snapToGrid w:val="0"/>
                <w:kern w:val="0"/>
                <w:sz w:val="32"/>
                <w:szCs w:val="32"/>
              </w:rPr>
              <w:t>四、特殊物品</w:t>
            </w:r>
          </w:p>
        </w:tc>
        <w:tc>
          <w:tcPr>
            <w:tcW w:w="7692" w:type="dxa"/>
            <w:tcBorders>
              <w:top w:val="single" w:sz="4" w:space="0" w:color="auto"/>
              <w:left w:val="single" w:sz="4" w:space="0" w:color="auto"/>
              <w:bottom w:val="single" w:sz="4" w:space="0" w:color="auto"/>
              <w:right w:val="single" w:sz="4" w:space="0" w:color="auto"/>
              <w:tl2br w:val="nil"/>
              <w:tr2bl w:val="nil"/>
            </w:tcBorders>
          </w:tcPr>
          <w:p>
            <w:pPr>
              <w:pStyle w:val="20"/>
              <w:autoSpaceDE w:val="0"/>
              <w:autoSpaceDN w:val="0"/>
              <w:adjustRightInd w:val="0"/>
              <w:spacing w:line="560" w:lineRule="exact"/>
              <w:rPr>
                <w:rFonts w:eastAsia="方正仿宋_GBK"/>
                <w:snapToGrid w:val="0"/>
                <w:kern w:val="0"/>
                <w:sz w:val="32"/>
                <w:szCs w:val="32"/>
              </w:rPr>
            </w:pPr>
            <w:r>
              <w:rPr>
                <w:rFonts w:eastAsia="方正仿宋_GBK" w:cs="Courier New" w:hint="eastAsia"/>
                <w:snapToGrid w:val="0"/>
                <w:kern w:val="0"/>
                <w:sz w:val="32"/>
                <w:szCs w:val="32"/>
              </w:rPr>
              <w:t>入境的微生物（病毒、细菌、真菌、放线菌、立克次氏体、螺旋体、衣原体、支原体等医学微生物菌（毒）种及样本以及寄生虫、环保微生物菌剂）、人体组织（人体细胞、细胞系、胚胎、器官、组织、骨髓、分泌物、排泄物等）、生物制品（用于人类医学、生命科学相关领</w:t>
            </w:r>
            <w:r>
              <w:rPr>
                <w:rFonts w:eastAsia="方正仿宋_GBK" w:hint="eastAsia"/>
                <w:snapToGrid w:val="0"/>
                <w:kern w:val="0"/>
                <w:sz w:val="32"/>
                <w:szCs w:val="32"/>
              </w:rPr>
              <w:t>域的疫苗、抗毒素、诊断用试剂、细胞因子、酶及其制剂以及毒素、抗原、变态反应原、抗体、抗原-抗体复合物、核酸、免疫调节剂、微生态制剂等生物活性制剂）、血液及其制品（人类的全血、血浆成分和特殊血液成分、各种人类血浆蛋白制品）等应经审批</w:t>
            </w:r>
            <w:r>
              <w:rPr>
                <w:rFonts w:eastAsia="方正仿宋_GBK" w:cs="Courier New" w:hint="eastAsia"/>
                <w:snapToGrid w:val="0"/>
                <w:kern w:val="0"/>
                <w:sz w:val="32"/>
                <w:szCs w:val="32"/>
              </w:rPr>
              <w:t>签发</w:t>
            </w:r>
            <w:r>
              <w:rPr>
                <w:rFonts w:eastAsia="方正仿宋_GBK" w:hint="eastAsia"/>
                <w:snapToGrid w:val="0"/>
                <w:kern w:val="0"/>
                <w:sz w:val="32"/>
                <w:szCs w:val="32"/>
              </w:rPr>
              <w:t>《特殊物品出入境卫生检疫审批单》</w:t>
            </w:r>
            <w:r>
              <w:rPr>
                <w:rFonts w:eastAsia="方正仿宋_GBK" w:cs="Courier New" w:hint="eastAsia"/>
                <w:snapToGrid w:val="0"/>
                <w:kern w:val="0"/>
                <w:sz w:val="32"/>
                <w:szCs w:val="32"/>
              </w:rPr>
              <w:t>。</w:t>
            </w:r>
            <w:r>
              <w:rPr>
                <w:rFonts w:eastAsia="方正仿宋_GBK" w:hint="eastAsia"/>
                <w:snapToGrid w:val="0"/>
                <w:kern w:val="0"/>
                <w:sz w:val="32"/>
                <w:szCs w:val="32"/>
              </w:rPr>
              <w:t>经检验检疫合格后方准入境，入境后应接受监管。</w:t>
            </w:r>
          </w:p>
        </w:tc>
      </w:tr>
    </w:tbl>
    <w:p>
      <w:pPr>
        <w:pStyle w:val="26"/>
        <w:autoSpaceDE w:val="0"/>
        <w:autoSpaceDN w:val="0"/>
        <w:adjustRightInd w:val="0"/>
        <w:spacing w:line="560" w:lineRule="exact"/>
        <w:ind w:firstLineChars="197" w:firstLine="630"/>
        <w:rPr>
          <w:rFonts w:ascii="方正黑体简体" w:eastAsia="方正黑体简体"/>
          <w:sz w:val="32"/>
          <w:szCs w:val="32"/>
        </w:rPr>
      </w:pPr>
    </w:p>
    <w:p>
      <w:pPr>
        <w:autoSpaceDE w:val="0"/>
        <w:autoSpaceDN w:val="0"/>
        <w:adjustRightInd w:val="0"/>
        <w:spacing w:line="560" w:lineRule="exact"/>
        <w:ind w:firstLineChars="197" w:firstLine="630"/>
        <w:rPr>
          <w:rFonts w:eastAsia="方正黑体简体"/>
          <w:color w:val="FF0000"/>
          <w:sz w:val="32"/>
          <w:szCs w:val="32"/>
        </w:rPr>
      </w:pPr>
    </w:p>
    <w:p>
      <w:pPr>
        <w:autoSpaceDE w:val="0"/>
        <w:autoSpaceDN w:val="0"/>
        <w:adjustRightInd w:val="0"/>
        <w:spacing w:line="560" w:lineRule="exact"/>
        <w:ind w:firstLineChars="197" w:firstLine="630"/>
        <w:rPr>
          <w:rFonts w:eastAsia="方正黑体简体"/>
          <w:color w:val="FF0000"/>
          <w:sz w:val="32"/>
          <w:szCs w:val="32"/>
        </w:rPr>
      </w:pPr>
    </w:p>
    <w:p>
      <w:pPr>
        <w:autoSpaceDE w:val="0"/>
        <w:autoSpaceDN w:val="0"/>
        <w:adjustRightInd w:val="0"/>
        <w:spacing w:line="560" w:lineRule="exact"/>
        <w:ind w:firstLineChars="197" w:firstLine="630"/>
        <w:rPr>
          <w:rFonts w:eastAsia="方正黑体简体"/>
          <w:color w:val="FF0000"/>
          <w:sz w:val="32"/>
          <w:szCs w:val="32"/>
        </w:rPr>
        <w:sectPr>
          <w:footerReference w:type="default" r:id="rId2"/>
          <w:pgSz w:w="11906" w:h="16838"/>
          <w:pgMar w:top="1440" w:right="1800" w:bottom="1440" w:left="1800" w:header="851" w:footer="992" w:gutter="0"/>
          <w:docGrid w:type="lines" w:linePitch="312" w:charSpace="0"/>
        </w:sectPr>
      </w:pPr>
    </w:p>
    <w:tbl>
      <w:tblPr>
        <w:jc w:val="center"/>
        <w:tblW w:w="1503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276"/>
        <w:gridCol w:w="6947"/>
        <w:gridCol w:w="1417"/>
        <w:gridCol w:w="5396"/>
      </w:tblGrid>
      <w:tr>
        <w:trPr>
          <w:trHeight w:val="405"/>
        </w:trPr>
        <w:tc>
          <w:tcPr>
            <w:tcW w:w="15036" w:type="dxa"/>
            <w:gridSpan w:val="4"/>
            <w:tcBorders>
              <w:top w:val="nil"/>
              <w:left w:val="nil"/>
              <w:bottom w:val="nil"/>
              <w:right w:val="nil"/>
              <w:tl2br w:val="nil"/>
              <w:tr2bl w:val="nil"/>
            </w:tcBorders>
            <w:shd w:val="clear" w:color="auto" w:fill="auto"/>
            <w:noWrap/>
            <w:vAlign w:val="center"/>
          </w:tcPr>
          <w:p>
            <w:pPr>
              <w:pStyle w:val="27"/>
              <w:widowControl/>
              <w:ind w:firstLineChars="200" w:firstLine="624"/>
              <w:rPr>
                <w:rFonts w:ascii="方正黑体_GBK" w:eastAsia="方正黑体_GBK" w:cs="宋体"/>
                <w:kern w:val="0"/>
                <w:sz w:val="32"/>
                <w:szCs w:val="32"/>
              </w:rPr>
            </w:pPr>
            <w:r>
              <w:rPr>
                <w:rFonts w:ascii="方正黑体_GBK" w:eastAsia="方正黑体_GBK" w:cs="宋体"/>
                <w:kern w:val="0"/>
                <w:sz w:val="32"/>
                <w:szCs w:val="32"/>
              </w:rPr>
              <w:t>附表3</w:t>
            </w:r>
          </w:p>
        </w:tc>
      </w:tr>
      <w:tr>
        <w:trPr>
          <w:trHeight w:val="960"/>
        </w:trPr>
        <w:tc>
          <w:tcPr>
            <w:tcW w:w="15036"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widowControl/>
              <w:jc w:val="center"/>
              <w:rPr>
                <w:rFonts w:ascii="方正小标宋_GBK" w:eastAsia="方正小标宋_GBK" w:cs="宋体"/>
                <w:kern w:val="0"/>
                <w:sz w:val="44"/>
                <w:szCs w:val="44"/>
              </w:rPr>
            </w:pPr>
            <w:r>
              <w:rPr>
                <w:rFonts w:ascii="方正小标宋_GBK" w:eastAsia="方正小标宋_GBK" w:cs="宋体" w:hint="eastAsia"/>
                <w:kern w:val="0"/>
                <w:sz w:val="44"/>
                <w:szCs w:val="44"/>
              </w:rPr>
              <w:t>2023年</w:t>
            </w:r>
            <w:r>
              <w:rPr>
                <w:rFonts w:ascii="方正小标宋_GBK" w:eastAsia="方正小标宋_GBK" w:hint="eastAsia"/>
                <w:sz w:val="44"/>
                <w:szCs w:val="44"/>
              </w:rPr>
              <w:t>第十四届中国—东北亚博览会</w:t>
            </w:r>
            <w:r>
              <w:rPr>
                <w:rFonts w:ascii="方正小标宋_GBK" w:eastAsia="方正小标宋_GBK" w:cs="宋体" w:hint="eastAsia"/>
                <w:kern w:val="0"/>
                <w:sz w:val="44"/>
                <w:szCs w:val="44"/>
              </w:rPr>
              <w:t>检验检疫禁止清单</w:t>
            </w:r>
          </w:p>
        </w:tc>
      </w:tr>
      <w:tr>
        <w:trPr>
          <w:trHeight w:val="1020"/>
        </w:trPr>
        <w:tc>
          <w:tcPr>
            <w:tcW w:w="1276" w:type="dxa"/>
            <w:tcBorders>
              <w:top w:val="nil"/>
              <w:left w:val="single" w:sz="4" w:space="0" w:color="auto"/>
              <w:bottom w:val="single" w:sz="4" w:space="0" w:color="auto"/>
              <w:right w:val="single" w:sz="4" w:space="0" w:color="auto"/>
              <w:tl2br w:val="nil"/>
              <w:tr2bl w:val="nil"/>
            </w:tcBorders>
            <w:shd w:val="clear" w:color="auto" w:fill="auto"/>
            <w:vAlign w:val="center"/>
          </w:tcPr>
          <w:p>
            <w:pPr>
              <w:widowControl/>
              <w:jc w:val="center"/>
              <w:rPr>
                <w:rFonts w:ascii="宋体" w:cs="宋体"/>
                <w:b/>
                <w:bCs/>
                <w:kern w:val="0"/>
                <w:sz w:val="24"/>
              </w:rPr>
            </w:pPr>
            <w:r>
              <w:rPr>
                <w:rFonts w:ascii="宋体" w:cs="宋体" w:hint="eastAsia"/>
                <w:b/>
                <w:bCs/>
                <w:kern w:val="0"/>
                <w:sz w:val="24"/>
              </w:rPr>
              <w:t>序号</w:t>
            </w:r>
          </w:p>
        </w:tc>
        <w:tc>
          <w:tcPr>
            <w:tcW w:w="6947" w:type="dxa"/>
            <w:tcBorders>
              <w:top w:val="nil"/>
              <w:left w:val="nil"/>
              <w:bottom w:val="single" w:sz="4" w:space="0" w:color="auto"/>
              <w:right w:val="single" w:sz="4" w:space="0" w:color="auto"/>
              <w:tl2br w:val="nil"/>
              <w:tr2bl w:val="nil"/>
            </w:tcBorders>
            <w:shd w:val="clear" w:color="auto" w:fill="auto"/>
            <w:vAlign w:val="center"/>
          </w:tcPr>
          <w:p>
            <w:pPr>
              <w:widowControl/>
              <w:jc w:val="center"/>
              <w:rPr>
                <w:rFonts w:ascii="宋体" w:cs="宋体"/>
                <w:b/>
                <w:bCs/>
                <w:kern w:val="0"/>
                <w:sz w:val="24"/>
              </w:rPr>
            </w:pPr>
            <w:r>
              <w:rPr>
                <w:rFonts w:ascii="宋体" w:cs="宋体" w:hint="eastAsia"/>
                <w:b/>
                <w:bCs/>
                <w:kern w:val="0"/>
                <w:sz w:val="24"/>
              </w:rPr>
              <w:t>禁止内容</w:t>
            </w:r>
          </w:p>
        </w:tc>
        <w:tc>
          <w:tcPr>
            <w:tcW w:w="1417" w:type="dxa"/>
            <w:tcBorders>
              <w:top w:val="nil"/>
              <w:left w:val="nil"/>
              <w:bottom w:val="single" w:sz="4" w:space="0" w:color="auto"/>
              <w:right w:val="single" w:sz="4" w:space="0" w:color="auto"/>
              <w:tl2br w:val="nil"/>
              <w:tr2bl w:val="nil"/>
            </w:tcBorders>
            <w:shd w:val="clear" w:color="auto" w:fill="auto"/>
            <w:vAlign w:val="center"/>
          </w:tcPr>
          <w:p>
            <w:pPr>
              <w:widowControl/>
              <w:jc w:val="center"/>
              <w:rPr>
                <w:rFonts w:ascii="宋体" w:cs="宋体"/>
                <w:b/>
                <w:bCs/>
                <w:kern w:val="0"/>
                <w:sz w:val="24"/>
              </w:rPr>
            </w:pPr>
            <w:r>
              <w:rPr>
                <w:rFonts w:ascii="宋体" w:cs="宋体" w:hint="eastAsia"/>
                <w:b/>
                <w:bCs/>
                <w:kern w:val="0"/>
                <w:sz w:val="24"/>
              </w:rPr>
              <w:t>禁止类别</w:t>
            </w:r>
          </w:p>
        </w:tc>
        <w:tc>
          <w:tcPr>
            <w:tcW w:w="5396" w:type="dxa"/>
            <w:tcBorders>
              <w:top w:val="nil"/>
              <w:left w:val="nil"/>
              <w:bottom w:val="single" w:sz="4" w:space="0" w:color="auto"/>
              <w:right w:val="single" w:sz="4" w:space="0" w:color="auto"/>
              <w:tl2br w:val="nil"/>
              <w:tr2bl w:val="nil"/>
            </w:tcBorders>
            <w:shd w:val="clear" w:color="auto" w:fill="auto"/>
            <w:vAlign w:val="center"/>
          </w:tcPr>
          <w:p>
            <w:pPr>
              <w:widowControl/>
              <w:jc w:val="center"/>
              <w:rPr>
                <w:rFonts w:ascii="宋体" w:cs="宋体"/>
                <w:b/>
                <w:bCs/>
                <w:kern w:val="0"/>
                <w:sz w:val="24"/>
              </w:rPr>
            </w:pPr>
            <w:r>
              <w:rPr>
                <w:rFonts w:ascii="宋体" w:cs="宋体" w:hint="eastAsia"/>
                <w:b/>
                <w:bCs/>
                <w:kern w:val="0"/>
                <w:sz w:val="24"/>
              </w:rPr>
              <w:t>备注</w:t>
            </w:r>
          </w:p>
        </w:tc>
      </w:tr>
      <w:tr>
        <w:trPr>
          <w:trHeight w:val="3525"/>
        </w:trPr>
        <w:tc>
          <w:tcPr>
            <w:tcW w:w="1276" w:type="dxa"/>
            <w:tcBorders>
              <w:top w:val="nil"/>
              <w:left w:val="single" w:sz="4" w:space="0" w:color="auto"/>
              <w:bottom w:val="single" w:sz="4" w:space="0" w:color="auto"/>
              <w:right w:val="single" w:sz="4" w:space="0" w:color="auto"/>
              <w:tl2br w:val="nil"/>
              <w:tr2bl w:val="nil"/>
            </w:tcBorders>
            <w:shd w:val="clear" w:color="auto" w:fill="auto"/>
            <w:vAlign w:val="center"/>
          </w:tcPr>
          <w:p>
            <w:pPr>
              <w:widowControl/>
              <w:jc w:val="center"/>
              <w:rPr>
                <w:kern w:val="0"/>
                <w:sz w:val="24"/>
              </w:rPr>
            </w:pPr>
            <w:r>
              <w:rPr>
                <w:kern w:val="0"/>
                <w:sz w:val="24"/>
              </w:rPr>
              <w:t>1</w:t>
            </w:r>
          </w:p>
        </w:tc>
        <w:tc>
          <w:tcPr>
            <w:tcW w:w="6947" w:type="dxa"/>
            <w:tcBorders>
              <w:top w:val="nil"/>
              <w:left w:val="nil"/>
              <w:bottom w:val="single" w:sz="4" w:space="0" w:color="auto"/>
              <w:right w:val="single" w:sz="4" w:space="0" w:color="auto"/>
              <w:tl2br w:val="nil"/>
              <w:tr2bl w:val="nil"/>
            </w:tcBorders>
            <w:shd w:val="clear" w:color="auto" w:fill="auto"/>
            <w:vAlign w:val="center"/>
          </w:tcPr>
          <w:p>
            <w:pPr>
              <w:widowControl/>
              <w:spacing w:after="240"/>
              <w:rPr>
                <w:rFonts w:ascii="宋体" w:cs="宋体"/>
                <w:kern w:val="0"/>
                <w:sz w:val="24"/>
              </w:rPr>
            </w:pPr>
            <w:r>
              <w:rPr>
                <w:rFonts w:ascii="宋体" w:cs="宋体" w:hint="eastAsia"/>
                <w:kern w:val="0"/>
                <w:sz w:val="24"/>
              </w:rPr>
              <w:t>《中华人民共和国进出境动植物检疫法》中规定的禁止进境物：</w:t>
              <w:br/>
              <w:t xml:space="preserve">  （一）动植物病原体（包括菌种、毒种等）、害虫及其他有害生物；</w:t>
              <w:br/>
              <w:t xml:space="preserve">  （二）动植物疫情流行的国家和地区的有关动植物、动植物产品和其他检疫物；</w:t>
              <w:br/>
              <w:t xml:space="preserve">  （三）动物尸体；</w:t>
              <w:br/>
              <w:t xml:space="preserve">  （四）土壤。</w:t>
              <w:br/>
            </w:r>
          </w:p>
        </w:tc>
        <w:tc>
          <w:tcPr>
            <w:tcW w:w="1417" w:type="dxa"/>
            <w:tcBorders>
              <w:top w:val="nil"/>
              <w:left w:val="nil"/>
              <w:bottom w:val="single" w:sz="4" w:space="0" w:color="auto"/>
              <w:right w:val="single" w:sz="4" w:space="0" w:color="auto"/>
              <w:tl2br w:val="nil"/>
              <w:tr2bl w:val="nil"/>
            </w:tcBorders>
            <w:shd w:val="clear" w:color="auto" w:fill="auto"/>
            <w:vAlign w:val="center"/>
          </w:tcPr>
          <w:p>
            <w:pPr>
              <w:widowControl/>
              <w:rPr>
                <w:rFonts w:ascii="宋体" w:cs="宋体"/>
                <w:kern w:val="0"/>
                <w:sz w:val="24"/>
              </w:rPr>
            </w:pPr>
            <w:r>
              <w:rPr>
                <w:rFonts w:ascii="宋体" w:cs="宋体" w:hint="eastAsia"/>
                <w:kern w:val="0"/>
                <w:sz w:val="24"/>
              </w:rPr>
              <w:t>禁止展览和销售</w:t>
            </w:r>
          </w:p>
        </w:tc>
        <w:tc>
          <w:tcPr>
            <w:tcW w:w="5396" w:type="dxa"/>
            <w:tcBorders>
              <w:top w:val="nil"/>
              <w:left w:val="nil"/>
              <w:bottom w:val="single" w:sz="4" w:space="0" w:color="auto"/>
              <w:right w:val="single" w:sz="4" w:space="0" w:color="auto"/>
              <w:tl2br w:val="nil"/>
              <w:tr2bl w:val="nil"/>
            </w:tcBorders>
            <w:shd w:val="clear" w:color="auto" w:fill="auto"/>
            <w:vAlign w:val="center"/>
          </w:tcPr>
          <w:p>
            <w:pPr>
              <w:pStyle w:val="56"/>
            </w:pPr>
            <w:r>
              <w:rPr>
                <w:rFonts w:cs="宋体" w:hint="eastAsia"/>
                <w:kern w:val="0"/>
              </w:rPr>
              <w:t>详见官方网站：</w:t>
              <w:br/>
              <w:t>1.禁止从动物疫病流行国家地区输入的动物及其产品一览表(2018年5月15日更新)</w:t>
              <w:br/>
              <w:t>http://www.customs.gov.cn/customs/jyjy/dzwjyjy/jsxx/1842256/index.html</w:t>
              <w:br/>
              <w:t>2.《关于防止白蜡树枯梢病传入我国的公告》</w:t>
              <w:br/>
              <w:t>http://dzs.customs.gov.cn/dzs/2746776/4450458/index.html</w:t>
            </w:r>
          </w:p>
        </w:tc>
      </w:tr>
      <w:tr>
        <w:trPr>
          <w:trHeight w:val="1740"/>
        </w:trPr>
        <w:tc>
          <w:tcPr>
            <w:tcW w:w="1276" w:type="dxa"/>
            <w:tcBorders>
              <w:top w:val="nil"/>
              <w:left w:val="single" w:sz="4" w:space="0" w:color="auto"/>
              <w:bottom w:val="single" w:sz="4" w:space="0" w:color="auto"/>
              <w:right w:val="single" w:sz="4" w:space="0" w:color="auto"/>
              <w:tl2br w:val="nil"/>
              <w:tr2bl w:val="nil"/>
            </w:tcBorders>
            <w:shd w:val="clear" w:color="auto" w:fill="auto"/>
            <w:vAlign w:val="center"/>
          </w:tcPr>
          <w:p>
            <w:pPr>
              <w:widowControl/>
              <w:jc w:val="center"/>
              <w:rPr>
                <w:kern w:val="0"/>
                <w:sz w:val="24"/>
              </w:rPr>
            </w:pPr>
            <w:r>
              <w:rPr>
                <w:kern w:val="0"/>
                <w:sz w:val="24"/>
              </w:rPr>
              <w:t>2</w:t>
            </w:r>
          </w:p>
        </w:tc>
        <w:tc>
          <w:tcPr>
            <w:tcW w:w="6947" w:type="dxa"/>
            <w:tcBorders>
              <w:top w:val="nil"/>
              <w:left w:val="nil"/>
              <w:bottom w:val="single" w:sz="4" w:space="0" w:color="auto"/>
              <w:right w:val="single" w:sz="4" w:space="0" w:color="auto"/>
              <w:tl2br w:val="nil"/>
              <w:tr2bl w:val="nil"/>
            </w:tcBorders>
            <w:shd w:val="clear" w:color="auto" w:fill="auto"/>
            <w:vAlign w:val="center"/>
          </w:tcPr>
          <w:p>
            <w:pPr>
              <w:widowControl/>
              <w:rPr>
                <w:rFonts w:ascii="宋体" w:cs="宋体"/>
                <w:kern w:val="0"/>
                <w:sz w:val="24"/>
              </w:rPr>
            </w:pPr>
            <w:r>
              <w:rPr>
                <w:rFonts w:ascii="宋体" w:cs="宋体" w:hint="eastAsia"/>
                <w:kern w:val="0"/>
                <w:sz w:val="24"/>
              </w:rPr>
              <w:t>来自日本福岛县、群马县、栃木县、茨城县、宫城县、新潟县（大米除外）、长野县、琦玉县、东京都、千叶县的食品、食用农产品和饲料(上述产地和涉及产品范围根据风险评估情况动态调整)</w:t>
            </w:r>
          </w:p>
        </w:tc>
        <w:tc>
          <w:tcPr>
            <w:tcW w:w="1417" w:type="dxa"/>
            <w:tcBorders>
              <w:top w:val="nil"/>
              <w:left w:val="nil"/>
              <w:bottom w:val="single" w:sz="4" w:space="0" w:color="auto"/>
              <w:right w:val="single" w:sz="4" w:space="0" w:color="auto"/>
              <w:tl2br w:val="nil"/>
              <w:tr2bl w:val="nil"/>
            </w:tcBorders>
            <w:shd w:val="clear" w:color="auto" w:fill="auto"/>
            <w:vAlign w:val="center"/>
          </w:tcPr>
          <w:p>
            <w:pPr>
              <w:widowControl/>
              <w:rPr>
                <w:rFonts w:ascii="宋体" w:cs="宋体"/>
                <w:kern w:val="0"/>
                <w:sz w:val="24"/>
              </w:rPr>
            </w:pPr>
            <w:r>
              <w:rPr>
                <w:rFonts w:ascii="宋体" w:cs="宋体" w:hint="eastAsia"/>
                <w:kern w:val="0"/>
                <w:sz w:val="24"/>
              </w:rPr>
              <w:t>禁止展览和销售</w:t>
            </w:r>
          </w:p>
        </w:tc>
        <w:tc>
          <w:tcPr>
            <w:tcW w:w="5396" w:type="dxa"/>
            <w:tcBorders>
              <w:top w:val="nil"/>
              <w:left w:val="nil"/>
              <w:bottom w:val="single" w:sz="4" w:space="0" w:color="auto"/>
              <w:right w:val="single" w:sz="4" w:space="0" w:color="auto"/>
              <w:tl2br w:val="nil"/>
              <w:tr2bl w:val="nil"/>
            </w:tcBorders>
            <w:shd w:val="clear" w:color="auto" w:fill="auto"/>
            <w:vAlign w:val="center"/>
          </w:tcPr>
          <w:p>
            <w:pPr>
              <w:widowControl/>
              <w:jc w:val="left"/>
              <w:rPr>
                <w:rFonts w:ascii="宋体" w:cs="宋体"/>
                <w:kern w:val="0"/>
                <w:sz w:val="24"/>
              </w:rPr>
            </w:pPr>
            <w:r>
              <w:rPr>
                <w:rFonts w:ascii="宋体" w:cs="宋体" w:hint="eastAsia"/>
                <w:kern w:val="0"/>
                <w:sz w:val="24"/>
              </w:rPr>
              <w:t>日本其他地区生产的食品、食用农产品和饲料应提供产品原产于非禁止清单列明地区的证明材料；其中蔬菜及其制品、乳及乳制品、水产品及水生动物、茶叶及制品、水果及制品、药用植物产品还应提供放射性物质检测合格证明新潟县大米进口公告链接：http://www.customs.gov.cn/customs/302249/302266/302269/2120648/index.html</w:t>
            </w:r>
          </w:p>
        </w:tc>
      </w:tr>
      <w:tr>
        <w:trPr>
          <w:trHeight w:val="1830"/>
        </w:trPr>
        <w:tc>
          <w:tcPr>
            <w:tcW w:w="1276"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widowControl/>
              <w:jc w:val="center"/>
              <w:rPr>
                <w:kern w:val="0"/>
                <w:sz w:val="24"/>
              </w:rPr>
            </w:pPr>
            <w:r>
              <w:rPr>
                <w:rFonts w:hint="eastAsia"/>
                <w:kern w:val="0"/>
                <w:sz w:val="24"/>
              </w:rPr>
              <w:t>3</w:t>
            </w:r>
          </w:p>
        </w:tc>
        <w:tc>
          <w:tcPr>
            <w:tcW w:w="6947"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widowControl/>
              <w:rPr>
                <w:rFonts w:ascii="宋体" w:cs="宋体"/>
                <w:kern w:val="0"/>
                <w:sz w:val="24"/>
              </w:rPr>
            </w:pPr>
            <w:r>
              <w:rPr>
                <w:rFonts w:ascii="宋体" w:cs="宋体" w:hint="eastAsia"/>
                <w:kern w:val="0"/>
                <w:sz w:val="24"/>
              </w:rPr>
              <w:t>纳入禁止进口目录的旧机电产品、旧服装</w:t>
            </w:r>
          </w:p>
        </w:tc>
        <w:tc>
          <w:tcPr>
            <w:tcW w:w="1417"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widowControl/>
              <w:rPr>
                <w:rFonts w:ascii="宋体" w:cs="宋体"/>
                <w:kern w:val="0"/>
                <w:sz w:val="24"/>
              </w:rPr>
            </w:pPr>
            <w:r>
              <w:rPr>
                <w:rFonts w:ascii="宋体" w:cs="宋体" w:hint="eastAsia"/>
                <w:kern w:val="0"/>
                <w:sz w:val="24"/>
              </w:rPr>
              <w:t>禁止销售。（旧服装禁止展览、被列入禁止进口目录以外的旧机电产品可以展览）</w:t>
            </w:r>
          </w:p>
        </w:tc>
        <w:tc>
          <w:tcPr>
            <w:tcW w:w="5396"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widowControl/>
              <w:rPr>
                <w:rFonts w:ascii="宋体" w:cs="宋体"/>
                <w:kern w:val="0"/>
                <w:sz w:val="24"/>
              </w:rPr>
            </w:pPr>
            <w:r>
              <w:rPr>
                <w:rFonts w:ascii="宋体" w:cs="宋体" w:hint="eastAsia"/>
                <w:kern w:val="0"/>
                <w:sz w:val="24"/>
              </w:rPr>
              <w:t>详见官方网站：</w:t>
              <w:br/>
              <w:t>1.《商务部 海关总署公告 2018年第106号 公布禁止进口的旧机电产品目录调整有关事项》</w:t>
              <w:br/>
              <w:t xml:space="preserve">http://www.mofcom.gov.cn/article/b/e/201812/20181202821859.shtml    </w:t>
              <w:br/>
              <w:t>2.旧服装HS编码为6309000000</w:t>
            </w:r>
          </w:p>
        </w:tc>
      </w:tr>
      <w:tr>
        <w:trPr>
          <w:trHeight w:val="315"/>
        </w:trPr>
        <w:tc>
          <w:tcPr>
            <w:tcW w:w="1276"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6947"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17"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5396" w:type="dxa"/>
            <w:vMerge/>
            <w:tcBorders>
              <w:top w:val="single" w:sz="4" w:space="0" w:color="auto"/>
              <w:left w:val="single" w:sz="4" w:space="0" w:color="auto"/>
              <w:bottom w:val="single" w:sz="4" w:space="0" w:color="auto"/>
              <w:right w:val="single" w:sz="4" w:space="0" w:color="auto"/>
              <w:tl2br w:val="nil"/>
              <w:tr2bl w:val="nil"/>
            </w:tcBorders>
            <w:vAlign w:val="center"/>
          </w:tcPr>
          <w:p/>
        </w:tc>
      </w:tr>
      <w:tr>
        <w:trPr>
          <w:trHeight w:val="315"/>
        </w:trPr>
        <w:tc>
          <w:tcPr>
            <w:tcW w:w="1276"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6947"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17"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5396" w:type="dxa"/>
            <w:vMerge/>
            <w:tcBorders>
              <w:top w:val="single" w:sz="4" w:space="0" w:color="auto"/>
              <w:left w:val="single" w:sz="4" w:space="0" w:color="auto"/>
              <w:bottom w:val="single" w:sz="4" w:space="0" w:color="auto"/>
              <w:right w:val="single" w:sz="4" w:space="0" w:color="auto"/>
              <w:tl2br w:val="nil"/>
              <w:tr2bl w:val="nil"/>
            </w:tcBorders>
            <w:vAlign w:val="center"/>
          </w:tcPr>
          <w:p/>
        </w:tc>
      </w:tr>
      <w:tr>
        <w:trPr>
          <w:trHeight w:val="312"/>
        </w:trPr>
        <w:tc>
          <w:tcPr>
            <w:tcW w:w="1276"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6947"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17"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5396" w:type="dxa"/>
            <w:vMerge/>
            <w:tcBorders>
              <w:top w:val="single" w:sz="4" w:space="0" w:color="auto"/>
              <w:left w:val="single" w:sz="4" w:space="0" w:color="auto"/>
              <w:bottom w:val="single" w:sz="4" w:space="0" w:color="auto"/>
              <w:right w:val="single" w:sz="4" w:space="0" w:color="auto"/>
              <w:tl2br w:val="nil"/>
              <w:tr2bl w:val="nil"/>
            </w:tcBorders>
            <w:vAlign w:val="center"/>
          </w:tcPr>
          <w:p/>
        </w:tc>
      </w:tr>
    </w:tbl>
    <w:p>
      <w:pPr>
        <w:adjustRightInd w:val="0"/>
        <w:snapToGrid w:val="0"/>
        <w:spacing w:line="560" w:lineRule="exact"/>
        <w:rPr>
          <w:rFonts w:ascii="方正黑体_GBK" w:eastAsia="方正黑体_GBK" w:cs="Courier New"/>
          <w:bCs/>
          <w:snapToGrid w:val="0"/>
          <w:kern w:val="0"/>
          <w:sz w:val="32"/>
          <w:szCs w:val="32"/>
        </w:rPr>
      </w:pPr>
    </w:p>
    <w:p>
      <w:pPr>
        <w:tabs>
          <w:tab w:val="left" w:pos="2395"/>
        </w:tabs>
        <w:spacing w:line="560" w:lineRule="exact"/>
        <w:rPr>
          <w:rFonts w:ascii="方正黑体_GBK" w:eastAsia="方正黑体_GBK" w:cs="Courier New"/>
          <w:bCs/>
          <w:snapToGrid w:val="0"/>
          <w:kern w:val="0"/>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tabs>
          <w:tab w:val="left" w:pos="2395"/>
        </w:tabs>
        <w:spacing w:line="560" w:lineRule="exact"/>
        <w:rPr>
          <w:rFonts w:ascii="方正黑体_GBK" w:eastAsia="方正黑体_GBK"/>
          <w:sz w:val="32"/>
          <w:szCs w:val="32"/>
        </w:rPr>
      </w:pPr>
      <w:r>
        <w:rPr>
          <w:rFonts w:ascii="方正黑体_GBK" w:eastAsia="方正黑体_GBK" w:hint="eastAsia"/>
          <w:sz w:val="32"/>
          <w:szCs w:val="32"/>
        </w:rPr>
        <w:t>附</w:t>
      </w:r>
      <w:r>
        <w:rPr>
          <w:rFonts w:ascii="方正黑体_GBK" w:eastAsia="方正黑体_GBK"/>
          <w:sz w:val="32"/>
          <w:szCs w:val="32"/>
        </w:rPr>
        <w:t>表</w:t>
      </w:r>
      <w:r>
        <w:rPr>
          <w:rFonts w:ascii="方正黑体_GBK" w:eastAsia="方正黑体_GBK" w:hint="eastAsia"/>
          <w:sz w:val="32"/>
          <w:szCs w:val="32"/>
        </w:rPr>
        <w:t>4</w:t>
      </w:r>
    </w:p>
    <w:p>
      <w:pPr>
        <w:adjustRightInd w:val="0"/>
        <w:snapToGrid w:val="0"/>
        <w:spacing w:line="560" w:lineRule="exact"/>
        <w:jc w:val="center"/>
        <w:rPr>
          <w:rFonts w:ascii="方正小标宋_GBK" w:eastAsia="方正小标宋_GBK" w:cs="Courier New"/>
          <w:bCs/>
          <w:snapToGrid w:val="0"/>
          <w:kern w:val="0"/>
          <w:sz w:val="44"/>
          <w:szCs w:val="44"/>
        </w:rPr>
      </w:pPr>
      <w:r>
        <w:rPr>
          <w:rFonts w:ascii="方正小标宋_GBK" w:eastAsia="方正小标宋_GBK" w:cs="宋体" w:hint="eastAsia"/>
          <w:kern w:val="0"/>
          <w:sz w:val="44"/>
          <w:szCs w:val="44"/>
        </w:rPr>
        <w:t>2023年</w:t>
      </w:r>
      <w:r>
        <w:rPr>
          <w:rFonts w:ascii="方正小标宋_GBK" w:eastAsia="方正小标宋_GBK" w:hint="eastAsia"/>
          <w:sz w:val="44"/>
          <w:szCs w:val="44"/>
        </w:rPr>
        <w:t>第十四届中国—东北亚博览会</w:t>
      </w:r>
      <w:r>
        <w:rPr>
          <w:rFonts w:ascii="方正小标宋_GBK" w:eastAsia="方正小标宋_GBK" w:cs="Courier New" w:hint="eastAsia"/>
          <w:bCs/>
          <w:snapToGrid w:val="0"/>
          <w:kern w:val="0"/>
          <w:sz w:val="44"/>
          <w:szCs w:val="44"/>
        </w:rPr>
        <w:t>检验检疫限制清单</w:t>
      </w:r>
    </w:p>
    <w:tbl>
      <w:tblPr>
        <w:jc w:val="left"/>
        <w:tblInd w:w="-576" w:type="dxa"/>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26"/>
        <w:gridCol w:w="1042"/>
        <w:gridCol w:w="5040"/>
        <w:gridCol w:w="8100"/>
      </w:tblGrid>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b/>
                <w:bCs/>
                <w:sz w:val="28"/>
                <w:szCs w:val="28"/>
              </w:rPr>
              <w:t>序号</w:t>
            </w:r>
          </w:p>
        </w:tc>
        <w:tc>
          <w:tcPr>
            <w:tcW w:w="1042"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b/>
                <w:bCs/>
                <w:sz w:val="28"/>
                <w:szCs w:val="28"/>
              </w:rPr>
              <w:t>产品类别</w:t>
            </w:r>
          </w:p>
        </w:tc>
        <w:tc>
          <w:tcPr>
            <w:tcW w:w="5040"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b/>
                <w:bCs/>
                <w:sz w:val="28"/>
                <w:szCs w:val="28"/>
              </w:rPr>
              <w:t>参加展销条件</w:t>
            </w:r>
          </w:p>
        </w:tc>
        <w:tc>
          <w:tcPr>
            <w:tcW w:w="8100"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b/>
                <w:bCs/>
                <w:sz w:val="28"/>
                <w:szCs w:val="28"/>
              </w:rPr>
              <w:t>备注</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1</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动物及非食用动物产品</w:t>
            </w:r>
          </w:p>
        </w:tc>
        <w:tc>
          <w:tcPr>
            <w:tcW w:w="5040"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 xml:space="preserve">展览用途： </w:t>
              <w:br/>
              <w:t>1. 动物、动物源性饲料：(1) 进境前办理《进境动植物检疫许可证》，有关检验检疫要求将在许可证中列明；(2) 随附出口国或地区官方动物检疫证书。</w:t>
              <w:br/>
              <w:t>2. 非食用动物产品：(1)《进境非食用动物产品风险级别及检验检疫监管措施清单》内，I级、II级风险级别产品，入境前办理《进境动植物检疫许可证》，有关检验检疫要求将在许可证中列明；(2) 除IV级风险级别产品外，入境时随附输出国或地区官方检疫证书。</w:t>
              <w:br/>
              <w:t xml:space="preserve">展销用途：   </w:t>
              <w:br/>
              <w:t>1. 动物：(1) 来自《允许进境食用/观赏用/种用水生动物国家/地区及种类名单》中公布的产品种类及输出国家/地区；(2) 进境前办理进境动植物检疫许可证，有关检验检疫要求将在许可证中列明；(3) 随附出口国家或地区官方动物检疫证书。</w:t>
              <w:br/>
              <w:t>2. 非食用动物产品：(1) 来自《允许进境非食用动物产品国家/地区及产品种类名单》中公布的产品种类及输出国家/地区；(2)《进境非食用动物产品风险级别及检验检疫监管措施清单》内，I级、II级风险级别产品，入境前办理进境动植物检疫许可证；(3) 除IV级风险级别产品外，入境时随附输出国或地区官方检疫证书。</w:t>
              <w:br/>
              <w:t>3. 动物源性饲料：(1) 来自《允许进口饲料和饲料添加剂国家/地区产品名单》中公布的产品种类及输出国家或地区；(2)《关于修订进出口饲料和饲料添加剂风险级别及检验检疫监管方式的公告》（2015年第144号）列明的I、II级风险级别产品，入境前办理进境动植物检疫审批许可证；(3) 入境时随附输出国或地区官方检疫证书。</w:t>
            </w:r>
          </w:p>
        </w:tc>
        <w:tc>
          <w:tcPr>
            <w:tcW w:w="8100" w:type="dxa"/>
            <w:tcBorders>
              <w:tl2br w:val="nil"/>
              <w:tr2bl w:val="nil"/>
            </w:tcBorders>
            <w:vAlign w:val="center"/>
          </w:tcPr>
          <w:p>
            <w:pPr>
              <w:adjustRightInd w:val="0"/>
              <w:snapToGrid w:val="0"/>
              <w:spacing w:line="560" w:lineRule="exact"/>
              <w:rPr>
                <w:sz w:val="22"/>
                <w:szCs w:val="22"/>
              </w:rPr>
            </w:pPr>
            <w:r>
              <w:rPr>
                <w:rFonts w:hint="eastAsia"/>
                <w:sz w:val="22"/>
                <w:szCs w:val="22"/>
              </w:rPr>
              <w:t>详见官方网站：</w:t>
              <w:br/>
              <w:t xml:space="preserve">1.禁止从动物疫病流行国家地区输入的动物及其产品一览表 </w:t>
              <w:br/>
            </w:r>
            <w:r>
              <w:rPr>
                <w:sz w:val="22"/>
                <w:szCs w:val="22"/>
              </w:rPr>
              <w:t>http://dzs.customs.gov.cn/dzs/2746776/2753557/index.html</w:t>
            </w:r>
            <w:r>
              <w:rPr>
                <w:rFonts w:hint="eastAsia"/>
                <w:sz w:val="22"/>
                <w:szCs w:val="22"/>
              </w:rPr>
              <w:br/>
              <w:t>2.</w:t>
            </w:r>
            <w:r>
              <w:rPr>
                <w:sz w:val="22"/>
                <w:szCs w:val="22"/>
              </w:rPr>
              <w:t>.已准入水生动物国家或地区及品种名单</w:t>
            </w:r>
            <w:r>
              <w:rPr>
                <w:rFonts w:hint="eastAsia"/>
                <w:sz w:val="22"/>
                <w:szCs w:val="22"/>
              </w:rPr>
              <w:br/>
            </w:r>
            <w:r>
              <w:rPr>
                <w:sz w:val="22"/>
                <w:szCs w:val="22"/>
              </w:rPr>
              <w:t>http://dzs.customs.gov.cn/dzs/2747042/3995815/3995864/3996810/index.html</w:t>
            </w:r>
            <w:r>
              <w:rPr>
                <w:rFonts w:hint="eastAsia"/>
                <w:sz w:val="22"/>
                <w:szCs w:val="22"/>
              </w:rPr>
              <w:br/>
              <w:t>3.进境非食用动物产品风险级别及检验检疫监管措施清单</w:t>
              <w:br/>
            </w:r>
            <w:r>
              <w:rPr>
                <w:sz w:val="22"/>
                <w:szCs w:val="22"/>
              </w:rPr>
              <w:t>http://www.customs.gov.cn/dzs/2746776/4013968/index.html</w:t>
            </w:r>
            <w:r>
              <w:rPr>
                <w:rFonts w:hint="eastAsia"/>
                <w:sz w:val="22"/>
                <w:szCs w:val="22"/>
              </w:rPr>
              <w:br/>
              <w:t>4.允许进境非食用动物产品国家或地区及产品种类名单</w:t>
              <w:br/>
            </w:r>
            <w:r>
              <w:rPr>
                <w:szCs w:val="21"/>
              </w:rPr>
              <w:fldChar w:fldCharType="begin"/>
            </w:r>
            <w:r>
              <w:instrText>HYPERLINK "http://www.customs.gov.cn/dzs/2747042/3995816/fsydwcp/3996743/index1.html"</w:instrText>
            </w:r>
            <w:r>
              <w:rPr>
                <w:szCs w:val="21"/>
              </w:rPr>
              <w:fldChar w:fldCharType="separate"/>
            </w:r>
            <w:r>
              <w:rPr>
                <w:szCs w:val="21"/>
              </w:rPr>
              <w:t>http://www.customs.gov.cn/dzs/2747042/3995816/fsydwcp/3996743/index1.html</w:t>
            </w:r>
            <w:r>
              <w:rPr>
                <w:szCs w:val="21"/>
              </w:rPr>
              <w:fldChar w:fldCharType="end"/>
            </w:r>
          </w:p>
          <w:p>
            <w:pPr>
              <w:adjustRightInd w:val="0"/>
              <w:snapToGrid w:val="0"/>
              <w:spacing w:line="560" w:lineRule="exact"/>
              <w:rPr>
                <w:sz w:val="22"/>
                <w:szCs w:val="22"/>
              </w:rPr>
            </w:pPr>
            <w:r>
              <w:rPr>
                <w:rFonts w:hint="eastAsia"/>
                <w:sz w:val="22"/>
                <w:szCs w:val="22"/>
              </w:rPr>
              <w:t>5.免于核查输出国家或地区官方动</w:t>
            </w:r>
            <w:r>
              <w:rPr>
                <w:sz w:val="22"/>
                <w:szCs w:val="22"/>
              </w:rPr>
              <w:t>植</w:t>
            </w:r>
            <w:r>
              <w:rPr>
                <w:rFonts w:hint="eastAsia"/>
                <w:sz w:val="22"/>
                <w:szCs w:val="22"/>
              </w:rPr>
              <w:t>物检疫证书的清单</w:t>
              <w:br/>
            </w:r>
            <w:r>
              <w:rPr>
                <w:sz w:val="22"/>
                <w:szCs w:val="22"/>
              </w:rPr>
              <w:t>http://dzs.customs.gov.cn/dzs/2746776/4449008/index.html</w:t>
            </w:r>
            <w:r>
              <w:rPr>
                <w:rFonts w:hint="eastAsia"/>
                <w:sz w:val="22"/>
                <w:szCs w:val="22"/>
              </w:rPr>
              <w:br/>
              <w:t>6.允许进口饲料国家（地区）及产品名单（不含植物源性饲料原料）</w:t>
            </w:r>
          </w:p>
          <w:p>
            <w:pPr>
              <w:adjustRightInd w:val="0"/>
              <w:snapToGrid w:val="0"/>
              <w:spacing w:line="560" w:lineRule="exact"/>
              <w:rPr>
                <w:sz w:val="22"/>
                <w:szCs w:val="22"/>
              </w:rPr>
            </w:pPr>
            <w:r>
              <w:rPr>
                <w:sz w:val="22"/>
                <w:szCs w:val="22"/>
              </w:rPr>
              <w:t>http://www.customs.gov.cn/dzs/2747042/3995816/dwyxsl/3996645/index.html</w:t>
            </w:r>
            <w:r>
              <w:rPr>
                <w:rFonts w:hint="eastAsia"/>
                <w:sz w:val="22"/>
                <w:szCs w:val="22"/>
              </w:rPr>
              <w:br/>
              <w:t>7.允许进口饲料添加剂和预混料国家（地区）产品及注册企业名单</w:t>
              <w:br/>
            </w:r>
            <w:r>
              <w:rPr>
                <w:sz w:val="22"/>
                <w:szCs w:val="22"/>
              </w:rPr>
              <w:t>http://www.customs.gov.cn/dzs/2747042/3995816/sltjj/3996777/index.html</w:t>
            </w:r>
            <w:r>
              <w:rPr>
                <w:rFonts w:hint="eastAsia"/>
                <w:sz w:val="22"/>
                <w:szCs w:val="22"/>
              </w:rPr>
              <w:br/>
              <w:t>8.</w:t>
            </w:r>
            <w:r>
              <w:rPr>
                <w:sz w:val="22"/>
                <w:szCs w:val="22"/>
              </w:rPr>
              <w:t>进出口饲料和饲料添加剂风险级别及检验检疫监管方式</w:t>
            </w:r>
          </w:p>
          <w:p>
            <w:pPr>
              <w:adjustRightInd w:val="0"/>
              <w:snapToGrid w:val="0"/>
              <w:spacing w:line="560" w:lineRule="exact"/>
              <w:rPr>
                <w:sz w:val="22"/>
                <w:szCs w:val="22"/>
              </w:rPr>
            </w:pPr>
            <w:r>
              <w:rPr>
                <w:rStyle w:val="24"/>
                <w:color w:val="auto"/>
                <w:sz w:val="22"/>
                <w:szCs w:val="22"/>
              </w:rPr>
              <w:fldChar w:fldCharType="begin"/>
            </w:r>
            <w:r>
              <w:instrText>HYPERLINK "http://www.customs.gov.cn/customs/jyjy/dzwjyjy/jsxx/2373830/index.html"</w:instrText>
            </w:r>
            <w:r>
              <w:rPr>
                <w:rStyle w:val="24"/>
                <w:color w:val="auto"/>
                <w:sz w:val="22"/>
                <w:szCs w:val="22"/>
              </w:rPr>
              <w:fldChar w:fldCharType="separate"/>
            </w:r>
            <w:r>
              <w:rPr>
                <w:rStyle w:val="24"/>
                <w:color w:val="auto"/>
                <w:sz w:val="22"/>
                <w:szCs w:val="22"/>
              </w:rPr>
              <w:t>http://dzs.customs.gov.cn/dzs/2746776/2753474/index.html</w:t>
            </w:r>
            <w:r>
              <w:rPr>
                <w:rStyle w:val="24"/>
                <w:color w:val="auto"/>
                <w:sz w:val="22"/>
                <w:szCs w:val="22"/>
              </w:rPr>
              <w:fldChar w:fldCharType="end"/>
            </w:r>
          </w:p>
          <w:p>
            <w:pPr>
              <w:adjustRightInd w:val="0"/>
              <w:snapToGrid w:val="0"/>
              <w:spacing w:line="560" w:lineRule="exact"/>
              <w:rPr>
                <w:sz w:val="22"/>
                <w:szCs w:val="22"/>
              </w:rPr>
            </w:pPr>
            <w:r>
              <w:rPr>
                <w:rFonts w:hint="eastAsia"/>
                <w:sz w:val="22"/>
                <w:szCs w:val="22"/>
              </w:rPr>
              <w:t>9.《关于取消部分产品进境动植物检疫审批的公告》(海关总署公告2018年第51号)</w:t>
            </w:r>
          </w:p>
          <w:p>
            <w:pPr>
              <w:adjustRightInd w:val="0"/>
              <w:snapToGrid w:val="0"/>
              <w:spacing w:line="560" w:lineRule="exact"/>
              <w:rPr>
                <w:sz w:val="22"/>
                <w:szCs w:val="22"/>
              </w:rPr>
            </w:pPr>
            <w:r>
              <w:rPr>
                <w:rStyle w:val="24"/>
                <w:color w:val="auto"/>
                <w:sz w:val="22"/>
                <w:szCs w:val="22"/>
              </w:rPr>
              <w:fldChar w:fldCharType="begin"/>
            </w:r>
            <w:r>
              <w:instrText>HYPERLINK "http://www.customs.gov.cn/customs/302249/302266/302267/1889406/index.html"</w:instrText>
            </w:r>
            <w:r>
              <w:rPr>
                <w:rStyle w:val="24"/>
                <w:color w:val="auto"/>
                <w:sz w:val="22"/>
                <w:szCs w:val="22"/>
              </w:rPr>
              <w:fldChar w:fldCharType="separate"/>
            </w:r>
            <w:r>
              <w:rPr>
                <w:rStyle w:val="24"/>
                <w:color w:val="auto"/>
                <w:sz w:val="22"/>
                <w:szCs w:val="22"/>
              </w:rPr>
              <w:t>http://www.customs.gov.cn/customs/302249/302266/302267/1889406/index.html</w:t>
            </w:r>
            <w:r>
              <w:rPr>
                <w:rStyle w:val="24"/>
                <w:color w:val="auto"/>
                <w:sz w:val="22"/>
                <w:szCs w:val="22"/>
              </w:rPr>
              <w:fldChar w:fldCharType="end"/>
            </w:r>
          </w:p>
          <w:p>
            <w:pPr>
              <w:pStyle w:val="67"/>
            </w:pPr>
            <w:r>
              <w:rPr>
                <w:sz w:val="22"/>
                <w:szCs w:val="22"/>
              </w:rPr>
              <w:t>10.《关于授权直属海关开展部分进境动植物及其产品检疫审批事宜的公告》（海关总署公告2021年第101号）</w:t>
            </w:r>
            <w:r>
              <w:rPr>
                <w:rFonts w:eastAsia="方正仿宋_GBK" w:cs="Courier New"/>
                <w:bCs/>
                <w:snapToGrid w:val="0"/>
                <w:kern w:val="0"/>
                <w:sz w:val="22"/>
                <w:szCs w:val="22"/>
              </w:rPr>
              <w:t>http://www.customs.gov.cn/customs/302249/302266/302267/4122086/index.html</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2</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植物及产品（粮食及制品、新鲜水果、植物源性饲料、植物繁殖材料、新鲜蔬菜、干坚果、植物性调味料、植物源性中药材、植物源性</w:t>
            </w:r>
            <w:r>
              <w:rPr>
                <w:sz w:val="22"/>
                <w:szCs w:val="22"/>
              </w:rPr>
              <w:t>食品</w:t>
            </w:r>
            <w:r>
              <w:rPr>
                <w:rFonts w:hint="eastAsia"/>
                <w:sz w:val="22"/>
                <w:szCs w:val="22"/>
              </w:rPr>
              <w:t>）</w:t>
            </w:r>
          </w:p>
        </w:tc>
        <w:tc>
          <w:tcPr>
            <w:tcW w:w="5040" w:type="dxa"/>
            <w:tcBorders>
              <w:tl2br w:val="nil"/>
              <w:tr2bl w:val="nil"/>
            </w:tcBorders>
          </w:tcPr>
          <w:p>
            <w:pPr>
              <w:adjustRightInd w:val="0"/>
              <w:snapToGrid w:val="0"/>
              <w:spacing w:line="560" w:lineRule="exact"/>
              <w:rPr>
                <w:sz w:val="22"/>
                <w:szCs w:val="22"/>
              </w:rPr>
            </w:pPr>
            <w:r>
              <w:rPr>
                <w:rFonts w:hint="eastAsia"/>
                <w:sz w:val="22"/>
                <w:szCs w:val="22"/>
              </w:rPr>
              <w:t>展销用途：</w:t>
            </w:r>
          </w:p>
          <w:p>
            <w:r>
              <w:rPr>
                <w:rFonts w:hint="eastAsia"/>
                <w:sz w:val="22"/>
                <w:szCs w:val="22"/>
              </w:rPr>
              <w:t>1.产品应获检疫准入，准入名单可链接备注；</w:t>
            </w:r>
          </w:p>
          <w:p>
            <w:pPr>
              <w:adjustRightInd w:val="0"/>
              <w:snapToGrid w:val="0"/>
              <w:spacing w:line="560" w:lineRule="exact"/>
              <w:rPr>
                <w:sz w:val="22"/>
                <w:szCs w:val="22"/>
              </w:rPr>
            </w:pPr>
            <w:r>
              <w:rPr>
                <w:rFonts w:hint="eastAsia"/>
                <w:sz w:val="22"/>
                <w:szCs w:val="22"/>
              </w:rPr>
              <w:t>2.入境前办理《进境动植物检疫许可证》；</w:t>
              <w:br/>
              <w:t xml:space="preserve">3.需随附出口国或地区官方植物检疫证书。  </w:t>
            </w:r>
          </w:p>
          <w:p>
            <w:pPr>
              <w:adjustRightInd w:val="0"/>
              <w:snapToGrid w:val="0"/>
              <w:spacing w:line="560" w:lineRule="exact"/>
              <w:rPr>
                <w:sz w:val="22"/>
                <w:szCs w:val="22"/>
              </w:rPr>
            </w:pPr>
            <w:r>
              <w:rPr>
                <w:rFonts w:hint="eastAsia"/>
                <w:sz w:val="22"/>
                <w:szCs w:val="22"/>
              </w:rPr>
              <w:t>展览用途：</w:t>
            </w:r>
          </w:p>
          <w:p>
            <w:pPr>
              <w:pStyle w:val="77"/>
            </w:pPr>
            <w:r>
              <w:rPr>
                <w:rFonts w:hint="eastAsia"/>
                <w:sz w:val="22"/>
                <w:szCs w:val="22"/>
              </w:rPr>
              <w:t>1.产品应获检疫准入，准入名单可链接备注；</w:t>
            </w:r>
          </w:p>
          <w:p>
            <w:pPr>
              <w:pStyle w:val="77"/>
              <w:adjustRightInd w:val="0"/>
              <w:snapToGrid w:val="0"/>
              <w:spacing w:line="560" w:lineRule="exact"/>
              <w:rPr>
                <w:sz w:val="22"/>
                <w:szCs w:val="22"/>
              </w:rPr>
            </w:pPr>
            <w:r>
              <w:rPr>
                <w:sz w:val="22"/>
                <w:szCs w:val="22"/>
              </w:rPr>
              <w:t>2</w:t>
            </w:r>
            <w:r>
              <w:rPr>
                <w:rFonts w:hint="eastAsia"/>
                <w:sz w:val="22"/>
                <w:szCs w:val="22"/>
              </w:rPr>
              <w:t>.入境前办理《进境动植物检疫许可证》</w:t>
            </w:r>
            <w:r>
              <w:rPr>
                <w:sz w:val="22"/>
                <w:szCs w:val="22"/>
              </w:rPr>
              <w:t>；</w:t>
            </w:r>
          </w:p>
          <w:p>
            <w:pPr>
              <w:pStyle w:val="77"/>
              <w:adjustRightInd w:val="0"/>
              <w:snapToGrid w:val="0"/>
              <w:spacing w:line="560" w:lineRule="exact"/>
              <w:rPr>
                <w:sz w:val="22"/>
                <w:szCs w:val="22"/>
              </w:rPr>
            </w:pPr>
            <w:r>
              <w:rPr>
                <w:sz w:val="22"/>
                <w:szCs w:val="22"/>
              </w:rPr>
              <w:t>3</w:t>
            </w:r>
            <w:r>
              <w:rPr>
                <w:rFonts w:hint="eastAsia"/>
                <w:sz w:val="22"/>
                <w:szCs w:val="22"/>
              </w:rPr>
              <w:t>.需随附出口国家或地区官方植物检疫证书。</w:t>
            </w:r>
          </w:p>
          <w:p>
            <w:pPr>
              <w:pStyle w:val="78"/>
              <w:autoSpaceDE w:val="0"/>
              <w:autoSpaceDN w:val="0"/>
              <w:adjustRightInd w:val="0"/>
              <w:snapToGrid w:val="0"/>
              <w:spacing w:line="560" w:lineRule="exact"/>
              <w:jc w:val="left"/>
              <w:rPr>
                <w:rFonts w:ascii="宋体" w:cs="Courier New"/>
                <w:spacing w:val="-4"/>
                <w:sz w:val="22"/>
                <w:szCs w:val="22"/>
              </w:rPr>
            </w:pPr>
            <w:r>
              <w:rPr>
                <w:rFonts w:ascii="宋体" w:cs="Courier New" w:hint="eastAsia"/>
                <w:spacing w:val="-4"/>
                <w:sz w:val="22"/>
                <w:szCs w:val="22"/>
              </w:rPr>
              <w:t>下列展品不得以试用、品尝、散发、销售等形式消耗：</w:t>
            </w:r>
          </w:p>
          <w:p>
            <w:pPr>
              <w:pStyle w:val="77"/>
              <w:adjustRightInd w:val="0"/>
              <w:snapToGrid w:val="0"/>
              <w:spacing w:line="560" w:lineRule="exact"/>
              <w:rPr>
                <w:sz w:val="22"/>
                <w:szCs w:val="22"/>
              </w:rPr>
            </w:pPr>
          </w:p>
          <w:p>
            <w:pPr>
              <w:autoSpaceDE w:val="0"/>
              <w:autoSpaceDN w:val="0"/>
              <w:adjustRightInd w:val="0"/>
              <w:snapToGrid w:val="0"/>
              <w:spacing w:line="560" w:lineRule="exact"/>
              <w:jc w:val="left"/>
              <w:rPr>
                <w:rFonts w:ascii="宋体" w:cs="Courier New"/>
                <w:spacing w:val="-4"/>
                <w:sz w:val="22"/>
                <w:szCs w:val="22"/>
              </w:rPr>
            </w:pPr>
            <w:r>
              <w:rPr>
                <w:rFonts w:ascii="宋体" w:cs="Courier New" w:hint="eastAsia"/>
                <w:spacing w:val="-4"/>
                <w:sz w:val="22"/>
                <w:szCs w:val="22"/>
              </w:rPr>
              <w:t>1.审批为展览用途的进境种子、苗木及其他植物繁殖材料。</w:t>
            </w:r>
          </w:p>
          <w:p>
            <w:pPr>
              <w:autoSpaceDE w:val="0"/>
              <w:autoSpaceDN w:val="0"/>
              <w:adjustRightInd w:val="0"/>
              <w:snapToGrid w:val="0"/>
              <w:spacing w:line="560" w:lineRule="exact"/>
              <w:jc w:val="left"/>
              <w:rPr>
                <w:rFonts w:ascii="宋体" w:cs="Courier New"/>
                <w:spacing w:val="-4"/>
                <w:sz w:val="22"/>
                <w:szCs w:val="22"/>
              </w:rPr>
            </w:pPr>
            <w:r>
              <w:rPr>
                <w:rFonts w:ascii="宋体" w:cs="Courier New" w:hint="eastAsia"/>
                <w:spacing w:val="-4"/>
                <w:sz w:val="22"/>
                <w:szCs w:val="22"/>
              </w:rPr>
              <w:t>2.进境粮食、饲用粮谷和饲用草籽。</w:t>
            </w:r>
          </w:p>
          <w:p>
            <w:pPr>
              <w:adjustRightInd w:val="0"/>
              <w:snapToGrid w:val="0"/>
              <w:spacing w:line="560" w:lineRule="exact"/>
              <w:rPr>
                <w:rFonts w:eastAsia="方正仿宋_GBK" w:cs="Courier New"/>
                <w:bCs/>
                <w:snapToGrid w:val="0"/>
                <w:kern w:val="0"/>
                <w:sz w:val="32"/>
                <w:szCs w:val="32"/>
              </w:rPr>
            </w:pPr>
          </w:p>
        </w:tc>
        <w:tc>
          <w:tcPr>
            <w:tcW w:w="8100" w:type="dxa"/>
            <w:tcBorders>
              <w:tl2br w:val="nil"/>
              <w:tr2bl w:val="nil"/>
            </w:tcBorders>
            <w:vAlign w:val="center"/>
          </w:tcPr>
          <w:p>
            <w:pPr>
              <w:pStyle w:val="29"/>
              <w:adjustRightInd w:val="0"/>
              <w:snapToGrid w:val="0"/>
              <w:spacing w:line="560" w:lineRule="exact"/>
              <w:jc w:val="left"/>
              <w:rPr>
                <w:sz w:val="22"/>
                <w:szCs w:val="22"/>
              </w:rPr>
            </w:pPr>
            <w:r>
              <w:rPr>
                <w:rFonts w:hint="eastAsia"/>
                <w:sz w:val="22"/>
                <w:szCs w:val="22"/>
              </w:rPr>
              <w:t>详见官方网站：</w:t>
            </w:r>
          </w:p>
          <w:p>
            <w:pPr>
              <w:pStyle w:val="29"/>
              <w:adjustRightInd w:val="0"/>
              <w:snapToGrid w:val="0"/>
              <w:spacing w:line="560" w:lineRule="exact"/>
              <w:jc w:val="left"/>
              <w:rPr>
                <w:sz w:val="22"/>
                <w:szCs w:val="22"/>
              </w:rPr>
            </w:pPr>
            <w:r>
              <w:rPr>
                <w:rFonts w:hint="eastAsia"/>
                <w:sz w:val="22"/>
                <w:szCs w:val="22"/>
              </w:rPr>
              <w:br w:type="page"/>
              <w:t>1.我国允许进口粮食</w:t>
            </w:r>
            <w:r>
              <w:rPr>
                <w:sz w:val="22"/>
                <w:szCs w:val="22"/>
              </w:rPr>
              <w:t>和植物源性饲料</w:t>
            </w:r>
            <w:r>
              <w:rPr>
                <w:rFonts w:hint="eastAsia"/>
                <w:sz w:val="22"/>
                <w:szCs w:val="22"/>
              </w:rPr>
              <w:t>种类及输出国家/地区名录</w:t>
              <w:br w:type="page"/>
            </w:r>
            <w:r>
              <w:rPr>
                <w:rStyle w:val="79Char"/>
                <w:sz w:val="22"/>
                <w:szCs w:val="22"/>
                <w:u w:val="single"/>
              </w:rPr>
              <w:fldChar w:fldCharType="begin"/>
            </w:r>
            <w:r>
              <w:instrText>HYPERLINK "http://dzs.customs.gov.cn/dzs/2746776/3062131/index.html"</w:instrText>
            </w:r>
            <w:r>
              <w:rPr>
                <w:rStyle w:val="79Char"/>
                <w:sz w:val="22"/>
                <w:szCs w:val="22"/>
                <w:u w:val="single"/>
              </w:rPr>
              <w:fldChar w:fldCharType="separate"/>
            </w:r>
            <w:r>
              <w:rPr>
                <w:rStyle w:val="79Char"/>
                <w:sz w:val="22"/>
                <w:szCs w:val="22"/>
                <w:u w:val="single"/>
              </w:rPr>
              <w:t>http://dzs.customs.gov.cn/dzs/2746776/3062131/index.html</w:t>
            </w:r>
            <w:r>
              <w:rPr>
                <w:rStyle w:val="79Char"/>
                <w:sz w:val="22"/>
                <w:szCs w:val="22"/>
                <w:u w:val="single"/>
              </w:rPr>
              <w:fldChar w:fldCharType="end"/>
            </w:r>
          </w:p>
          <w:p>
            <w:pPr>
              <w:pStyle w:val="29"/>
              <w:adjustRightInd w:val="0"/>
              <w:snapToGrid w:val="0"/>
              <w:spacing w:line="560" w:lineRule="exact"/>
              <w:jc w:val="left"/>
              <w:rPr>
                <w:sz w:val="22"/>
                <w:szCs w:val="22"/>
              </w:rPr>
            </w:pPr>
            <w:r>
              <w:rPr>
                <w:rFonts w:hint="eastAsia"/>
                <w:sz w:val="22"/>
                <w:szCs w:val="22"/>
              </w:rPr>
              <w:br w:type="page"/>
              <w:t>2.获得我国检验检疫准入的新鲜水果种类及输出国家地区名录</w:t>
              <w:br w:type="page"/>
            </w:r>
            <w:r>
              <w:rPr>
                <w:rStyle w:val="81Char"/>
                <w:sz w:val="22"/>
                <w:szCs w:val="22"/>
                <w:u w:val="single"/>
              </w:rPr>
              <w:fldChar w:fldCharType="begin"/>
            </w:r>
            <w:r>
              <w:instrText>HYPERLINK "http://dzs.customs.gov.cn/dzs/2746776/3062131/index.html"</w:instrText>
            </w:r>
            <w:r>
              <w:rPr>
                <w:rStyle w:val="81Char"/>
                <w:sz w:val="22"/>
                <w:szCs w:val="22"/>
                <w:u w:val="single"/>
              </w:rPr>
              <w:fldChar w:fldCharType="separate"/>
            </w:r>
            <w:r>
              <w:rPr>
                <w:rStyle w:val="81Char"/>
                <w:sz w:val="22"/>
                <w:szCs w:val="22"/>
                <w:u w:val="single"/>
              </w:rPr>
              <w:t>http://dzs.customs.gov.cn/dzs/2746776/3062131/index.html</w:t>
            </w:r>
            <w:r>
              <w:rPr>
                <w:rStyle w:val="81Char"/>
                <w:sz w:val="22"/>
                <w:szCs w:val="22"/>
                <w:u w:val="single"/>
              </w:rPr>
              <w:fldChar w:fldCharType="end"/>
            </w:r>
          </w:p>
          <w:p>
            <w:pPr>
              <w:pStyle w:val="80"/>
              <w:adjustRightInd w:val="0"/>
              <w:snapToGrid w:val="0"/>
              <w:spacing w:line="560" w:lineRule="exact"/>
              <w:rPr>
                <w:sz w:val="22"/>
                <w:szCs w:val="22"/>
              </w:rPr>
            </w:pPr>
            <w:r>
              <w:rPr>
                <w:sz w:val="22"/>
                <w:szCs w:val="22"/>
              </w:rPr>
              <w:t>3.允许进口植物源性饲料境外注册登记企业名单</w:t>
            </w:r>
          </w:p>
          <w:p>
            <w:pPr>
              <w:pStyle w:val="80"/>
              <w:adjustRightInd w:val="0"/>
              <w:snapToGrid w:val="0"/>
              <w:spacing w:line="560" w:lineRule="exact"/>
              <w:jc w:val="left"/>
              <w:rPr>
                <w:sz w:val="22"/>
                <w:szCs w:val="22"/>
              </w:rPr>
            </w:pPr>
            <w:r>
              <w:rPr>
                <w:rStyle w:val="64Char"/>
                <w:color w:val="auto"/>
              </w:rPr>
              <w:fldChar w:fldCharType="begin"/>
            </w:r>
            <w:r>
              <w:instrText>HYPERLINK "http://dzs.customs.gov.cn/dzs/2747042/3995819/zwyxsl/3997388/index.html"</w:instrText>
            </w:r>
            <w:r>
              <w:rPr>
                <w:rStyle w:val="64Char"/>
                <w:color w:val="auto"/>
              </w:rPr>
              <w:fldChar w:fldCharType="separate"/>
            </w:r>
            <w:r>
              <w:rPr>
                <w:rStyle w:val="64Char"/>
                <w:color w:val="auto"/>
              </w:rPr>
              <w:t>http://dzs.customs.gov.cn/dzs/2747042/3995819/zwyxsl/3997388/index.html</w:t>
            </w:r>
            <w:r>
              <w:rPr>
                <w:rStyle w:val="64Char"/>
                <w:color w:val="auto"/>
              </w:rPr>
              <w:fldChar w:fldCharType="end"/>
            </w:r>
          </w:p>
          <w:p>
            <w:pPr>
              <w:pStyle w:val="29"/>
              <w:adjustRightInd w:val="0"/>
              <w:snapToGrid w:val="0"/>
              <w:spacing w:line="560" w:lineRule="exact"/>
              <w:jc w:val="left"/>
              <w:rPr>
                <w:sz w:val="22"/>
                <w:szCs w:val="22"/>
              </w:rPr>
            </w:pPr>
            <w:r>
              <w:rPr>
                <w:rFonts w:hint="eastAsia"/>
                <w:sz w:val="22"/>
                <w:szCs w:val="22"/>
              </w:rPr>
              <w:br w:type="page"/>
            </w:r>
            <w:r>
              <w:rPr>
                <w:sz w:val="22"/>
                <w:szCs w:val="22"/>
              </w:rPr>
              <w:t>4</w:t>
            </w:r>
            <w:r>
              <w:rPr>
                <w:rFonts w:hint="eastAsia"/>
                <w:sz w:val="22"/>
                <w:szCs w:val="22"/>
              </w:rPr>
              <w:t>.《中华人民共和国进境植物检疫禁止进境物名录》（</w:t>
            </w:r>
            <w:r>
              <w:rPr>
                <w:sz w:val="22"/>
                <w:szCs w:val="22"/>
              </w:rPr>
              <w:t>原</w:t>
            </w:r>
            <w:r>
              <w:rPr>
                <w:rFonts w:hint="eastAsia"/>
                <w:sz w:val="22"/>
                <w:szCs w:val="22"/>
              </w:rPr>
              <w:t>农业部第72号公告）</w:t>
              <w:br w:type="page"/>
            </w:r>
            <w:r>
              <w:rPr>
                <w:sz w:val="22"/>
                <w:szCs w:val="22"/>
              </w:rPr>
              <w:t>http://dzs.customs.gov.cn/dzs/2746776/2753422/index.html</w:t>
            </w:r>
          </w:p>
          <w:p>
            <w:pPr>
              <w:adjustRightInd w:val="0"/>
              <w:snapToGrid w:val="0"/>
              <w:spacing w:line="560" w:lineRule="exact"/>
              <w:jc w:val="left"/>
              <w:rPr>
                <w:sz w:val="22"/>
                <w:szCs w:val="22"/>
              </w:rPr>
            </w:pPr>
            <w:r>
              <w:rPr>
                <w:sz w:val="22"/>
                <w:szCs w:val="22"/>
              </w:rPr>
              <w:t>5</w:t>
            </w:r>
            <w:r>
              <w:rPr>
                <w:rFonts w:hint="eastAsia"/>
                <w:sz w:val="22"/>
                <w:szCs w:val="22"/>
              </w:rPr>
              <w:t>.《符合评估审查要求及有传统贸易的国家或地区输华食品目录》（包含中药材、植物源性食品）</w:t>
            </w:r>
          </w:p>
          <w:p>
            <w:pPr>
              <w:adjustRightInd w:val="0"/>
              <w:snapToGrid w:val="0"/>
              <w:spacing w:line="560" w:lineRule="exact"/>
              <w:jc w:val="left"/>
              <w:rPr>
                <w:rFonts w:eastAsia="方正仿宋_GBK" w:cs="Courier New"/>
                <w:bCs/>
                <w:snapToGrid w:val="0"/>
                <w:kern w:val="0"/>
                <w:sz w:val="32"/>
                <w:szCs w:val="32"/>
              </w:rPr>
            </w:pPr>
            <w:r>
              <w:rPr>
                <w:sz w:val="22"/>
                <w:szCs w:val="22"/>
              </w:rPr>
              <w:t>http://jckspj.customs.gov.cn/spj/zwgk75/2706880/index.html</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3</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肉类、蜂产品、肠衣、乳制品、水产品、燕窝等动物源性食品、动物源性中药材</w:t>
            </w:r>
          </w:p>
        </w:tc>
        <w:tc>
          <w:tcPr>
            <w:tcW w:w="5040" w:type="dxa"/>
            <w:tcBorders>
              <w:tl2br w:val="nil"/>
              <w:tr2bl w:val="nil"/>
            </w:tcBorders>
          </w:tcPr>
          <w:p>
            <w:pPr>
              <w:adjustRightInd w:val="0"/>
              <w:snapToGrid w:val="0"/>
              <w:spacing w:line="560" w:lineRule="exact"/>
              <w:rPr>
                <w:sz w:val="22"/>
                <w:szCs w:val="22"/>
              </w:rPr>
            </w:pPr>
            <w:r>
              <w:rPr>
                <w:rFonts w:hint="eastAsia"/>
                <w:sz w:val="22"/>
                <w:szCs w:val="22"/>
              </w:rPr>
              <w:t>展览用途：</w:t>
            </w:r>
          </w:p>
          <w:p>
            <w:pPr>
              <w:adjustRightInd w:val="0"/>
              <w:snapToGrid w:val="0"/>
              <w:spacing w:line="560" w:lineRule="exact"/>
              <w:rPr>
                <w:sz w:val="22"/>
                <w:szCs w:val="22"/>
              </w:rPr>
            </w:pPr>
            <w:r>
              <w:rPr>
                <w:rFonts w:hint="eastAsia"/>
                <w:sz w:val="22"/>
                <w:szCs w:val="22"/>
              </w:rPr>
              <w:t>1.应获检疫准入，准入名单可链接备注；</w:t>
            </w:r>
          </w:p>
          <w:p>
            <w:pPr>
              <w:adjustRightInd w:val="0"/>
              <w:snapToGrid w:val="0"/>
              <w:spacing w:line="560" w:lineRule="exact"/>
              <w:rPr>
                <w:sz w:val="22"/>
                <w:szCs w:val="22"/>
              </w:rPr>
            </w:pPr>
            <w:r>
              <w:rPr>
                <w:rFonts w:hint="eastAsia"/>
                <w:sz w:val="22"/>
                <w:szCs w:val="22"/>
              </w:rPr>
              <w:t>2.列入</w:t>
            </w:r>
            <w:r>
              <w:rPr>
                <w:sz w:val="22"/>
                <w:szCs w:val="22"/>
              </w:rPr>
              <w:t>《</w:t>
            </w:r>
            <w:r>
              <w:rPr>
                <w:rFonts w:hint="eastAsia"/>
                <w:sz w:val="22"/>
                <w:szCs w:val="22"/>
              </w:rPr>
              <w:t>需审批进境的动植物及其产品、特殊物品</w:t>
            </w:r>
            <w:r>
              <w:rPr>
                <w:sz w:val="22"/>
                <w:szCs w:val="22"/>
              </w:rPr>
              <w:t>》</w:t>
            </w:r>
            <w:r>
              <w:rPr>
                <w:rFonts w:hint="eastAsia"/>
                <w:sz w:val="22"/>
                <w:szCs w:val="22"/>
              </w:rPr>
              <w:t>清单</w:t>
            </w:r>
            <w:r>
              <w:rPr>
                <w:sz w:val="22"/>
                <w:szCs w:val="22"/>
              </w:rPr>
              <w:t>的，</w:t>
            </w:r>
            <w:r>
              <w:rPr>
                <w:rFonts w:hint="eastAsia"/>
                <w:sz w:val="22"/>
                <w:szCs w:val="22"/>
              </w:rPr>
              <w:t>入境前办理《进境动植物检疫许可证》；</w:t>
              <w:br/>
              <w:t xml:space="preserve">3.需随附出口国或地区官方卫生证书或动物检疫证书。   </w:t>
            </w:r>
          </w:p>
          <w:p>
            <w:pPr>
              <w:adjustRightInd w:val="0"/>
              <w:snapToGrid w:val="0"/>
              <w:spacing w:line="560" w:lineRule="exact"/>
              <w:rPr>
                <w:sz w:val="22"/>
                <w:szCs w:val="22"/>
              </w:rPr>
            </w:pPr>
            <w:r>
              <w:rPr>
                <w:rFonts w:hint="eastAsia"/>
                <w:sz w:val="22"/>
                <w:szCs w:val="22"/>
              </w:rPr>
              <w:t>展销用途：</w:t>
            </w:r>
          </w:p>
          <w:p>
            <w:pPr>
              <w:adjustRightInd w:val="0"/>
              <w:snapToGrid w:val="0"/>
              <w:spacing w:line="560" w:lineRule="exact"/>
              <w:rPr>
                <w:rFonts w:eastAsia="方正仿宋_GBK" w:cs="Courier New"/>
                <w:bCs/>
                <w:snapToGrid w:val="0"/>
                <w:kern w:val="0"/>
                <w:sz w:val="32"/>
                <w:szCs w:val="32"/>
              </w:rPr>
            </w:pPr>
            <w:r>
              <w:rPr>
                <w:rFonts w:hint="eastAsia"/>
                <w:sz w:val="22"/>
                <w:szCs w:val="22"/>
              </w:rPr>
              <w:t>要求同一般贸易。</w:t>
            </w:r>
          </w:p>
        </w:tc>
        <w:tc>
          <w:tcPr>
            <w:tcW w:w="8100" w:type="dxa"/>
            <w:tcBorders>
              <w:tl2br w:val="nil"/>
              <w:tr2bl w:val="nil"/>
            </w:tcBorders>
          </w:tcPr>
          <w:p>
            <w:pPr>
              <w:adjustRightInd w:val="0"/>
              <w:snapToGrid w:val="0"/>
              <w:spacing w:line="560" w:lineRule="exact"/>
              <w:rPr>
                <w:sz w:val="22"/>
                <w:szCs w:val="22"/>
              </w:rPr>
            </w:pPr>
            <w:r>
              <w:rPr>
                <w:rFonts w:hint="eastAsia"/>
                <w:sz w:val="22"/>
                <w:szCs w:val="22"/>
              </w:rPr>
              <w:t>详见官方网站：</w:t>
              <w:br/>
              <w:t>1.《符合评估审查要求及有传统贸易的国家或地区输华食品目录》（包含中药材）</w:t>
            </w:r>
            <w:r>
              <w:rPr>
                <w:sz w:val="22"/>
                <w:szCs w:val="22"/>
              </w:rPr>
              <w:t>http://jckspj.customs.gov.cn/spj/zwgk75/2706880/index.html</w:t>
            </w:r>
          </w:p>
          <w:p>
            <w:pPr>
              <w:adjustRightInd w:val="0"/>
              <w:snapToGrid w:val="0"/>
              <w:spacing w:line="560" w:lineRule="exact"/>
              <w:rPr>
                <w:sz w:val="22"/>
                <w:szCs w:val="22"/>
              </w:rPr>
            </w:pPr>
            <w:r>
              <w:rPr>
                <w:rFonts w:hint="eastAsia"/>
                <w:sz w:val="22"/>
                <w:szCs w:val="22"/>
              </w:rPr>
              <w:t xml:space="preserve">《符合评估审查要求的国家或地区输华肉类产品名单》     </w:t>
            </w:r>
          </w:p>
          <w:p>
            <w:pPr>
              <w:pStyle w:val="51"/>
              <w:autoSpaceDN w:val="0"/>
              <w:ind w:firstLine="640"/>
              <w:rPr>
                <w:rFonts w:eastAsia="方正仿宋_GBK"/>
                <w:szCs w:val="32"/>
              </w:rPr>
            </w:pPr>
            <w:r>
              <w:rPr>
                <w:sz w:val="22"/>
                <w:szCs w:val="22"/>
              </w:rPr>
              <w:t>http://jckspj.customs.gov.cn/spj/zwgk75/2706880/jckrljgzyxx33/2812399/index.html</w:t>
            </w:r>
          </w:p>
          <w:p>
            <w:pPr>
              <w:adjustRightInd w:val="0"/>
              <w:snapToGrid w:val="0"/>
              <w:spacing w:line="560" w:lineRule="exact"/>
              <w:rPr>
                <w:rFonts w:eastAsia="方正仿宋_GBK" w:cs="Courier New"/>
                <w:bCs/>
                <w:snapToGrid w:val="0"/>
                <w:kern w:val="0"/>
                <w:sz w:val="32"/>
                <w:szCs w:val="32"/>
              </w:rPr>
            </w:pPr>
          </w:p>
        </w:tc>
      </w:tr>
      <w:tr>
        <w:tc>
          <w:tcPr>
            <w:tcW w:w="1226" w:type="dxa"/>
            <w:tcBorders>
              <w:tl2br w:val="nil"/>
              <w:tr2bl w:val="nil"/>
            </w:tcBorders>
            <w:vAlign w:val="center"/>
          </w:tcPr>
          <w:p>
            <w:pPr>
              <w:pStyle w:val="31"/>
              <w:adjustRightInd w:val="0"/>
              <w:snapToGrid w:val="0"/>
              <w:spacing w:line="560" w:lineRule="exact"/>
              <w:jc w:val="center"/>
              <w:rPr>
                <w:rFonts w:eastAsia="方正仿宋_GBK" w:cs="Courier New"/>
                <w:bCs/>
                <w:snapToGrid w:val="0"/>
                <w:kern w:val="0"/>
                <w:sz w:val="32"/>
                <w:szCs w:val="32"/>
              </w:rPr>
            </w:pPr>
            <w:r>
              <w:rPr>
                <w:rFonts w:hint="eastAsia"/>
                <w:sz w:val="22"/>
                <w:szCs w:val="22"/>
              </w:rPr>
              <w:t>4</w:t>
            </w:r>
          </w:p>
        </w:tc>
        <w:tc>
          <w:tcPr>
            <w:tcW w:w="1042" w:type="dxa"/>
            <w:tcBorders>
              <w:tl2br w:val="nil"/>
              <w:tr2bl w:val="nil"/>
            </w:tcBorders>
            <w:vAlign w:val="center"/>
          </w:tcPr>
          <w:p>
            <w:pPr>
              <w:pStyle w:val="32"/>
              <w:adjustRightInd w:val="0"/>
              <w:snapToGrid w:val="0"/>
              <w:spacing w:line="560" w:lineRule="exact"/>
              <w:rPr>
                <w:rFonts w:eastAsia="方正仿宋_GBK" w:cs="Courier New"/>
                <w:bCs/>
                <w:snapToGrid w:val="0"/>
                <w:kern w:val="0"/>
                <w:sz w:val="32"/>
                <w:szCs w:val="32"/>
              </w:rPr>
            </w:pPr>
            <w:r>
              <w:rPr>
                <w:rFonts w:hint="eastAsia"/>
                <w:sz w:val="22"/>
                <w:szCs w:val="22"/>
              </w:rPr>
              <w:t>婴幼儿配方乳粉</w:t>
            </w:r>
          </w:p>
        </w:tc>
        <w:tc>
          <w:tcPr>
            <w:tcW w:w="5040" w:type="dxa"/>
            <w:tcBorders>
              <w:tl2br w:val="nil"/>
              <w:tr2bl w:val="nil"/>
            </w:tcBorders>
            <w:vAlign w:val="center"/>
          </w:tcPr>
          <w:p>
            <w:pPr>
              <w:pStyle w:val="33"/>
              <w:adjustRightInd w:val="0"/>
              <w:snapToGrid w:val="0"/>
              <w:spacing w:line="560" w:lineRule="exact"/>
              <w:rPr>
                <w:sz w:val="22"/>
                <w:szCs w:val="22"/>
              </w:rPr>
            </w:pPr>
            <w:r>
              <w:rPr>
                <w:sz w:val="22"/>
                <w:szCs w:val="22"/>
              </w:rPr>
              <w:t>展览用途：</w:t>
            </w:r>
          </w:p>
          <w:p>
            <w:pPr>
              <w:pStyle w:val="33"/>
              <w:adjustRightInd w:val="0"/>
              <w:snapToGrid w:val="0"/>
              <w:spacing w:line="560" w:lineRule="exact"/>
              <w:rPr>
                <w:sz w:val="22"/>
                <w:szCs w:val="22"/>
              </w:rPr>
            </w:pPr>
            <w:r>
              <w:rPr>
                <w:sz w:val="22"/>
                <w:szCs w:val="22"/>
              </w:rPr>
              <w:t>1</w:t>
            </w:r>
            <w:r>
              <w:rPr>
                <w:rFonts w:hint="eastAsia"/>
                <w:sz w:val="22"/>
                <w:szCs w:val="22"/>
              </w:rPr>
              <w:t>.应获检疫准入，准入名单可链接备注1</w:t>
            </w:r>
            <w:r>
              <w:rPr>
                <w:sz w:val="22"/>
                <w:szCs w:val="22"/>
              </w:rPr>
              <w:t>；</w:t>
            </w:r>
          </w:p>
          <w:p>
            <w:pPr>
              <w:pStyle w:val="33"/>
              <w:adjustRightInd w:val="0"/>
              <w:snapToGrid w:val="0"/>
              <w:spacing w:line="560" w:lineRule="exact"/>
              <w:rPr>
                <w:sz w:val="22"/>
                <w:szCs w:val="22"/>
              </w:rPr>
            </w:pPr>
            <w:r>
              <w:rPr>
                <w:sz w:val="22"/>
                <w:szCs w:val="22"/>
              </w:rPr>
              <w:t xml:space="preserve">2. </w:t>
            </w:r>
            <w:r>
              <w:rPr>
                <w:rFonts w:hint="eastAsia"/>
                <w:sz w:val="22"/>
                <w:szCs w:val="22"/>
              </w:rPr>
              <w:t>需随附出口国或地区官方卫生证书</w:t>
            </w:r>
            <w:r>
              <w:rPr>
                <w:sz w:val="22"/>
                <w:szCs w:val="22"/>
              </w:rPr>
              <w:t>。</w:t>
            </w:r>
          </w:p>
          <w:p>
            <w:pPr>
              <w:pStyle w:val="33"/>
              <w:adjustRightInd w:val="0"/>
              <w:snapToGrid w:val="0"/>
              <w:spacing w:line="560" w:lineRule="exact"/>
              <w:rPr>
                <w:sz w:val="22"/>
                <w:szCs w:val="22"/>
              </w:rPr>
            </w:pPr>
          </w:p>
          <w:p>
            <w:pPr>
              <w:pStyle w:val="33"/>
              <w:adjustRightInd w:val="0"/>
              <w:snapToGrid w:val="0"/>
              <w:spacing w:line="560" w:lineRule="exact"/>
              <w:rPr>
                <w:sz w:val="22"/>
                <w:szCs w:val="22"/>
              </w:rPr>
            </w:pPr>
            <w:r>
              <w:rPr>
                <w:sz w:val="22"/>
                <w:szCs w:val="22"/>
              </w:rPr>
              <w:t>销售用途：</w:t>
            </w:r>
          </w:p>
          <w:p>
            <w:pPr>
              <w:pStyle w:val="33"/>
              <w:adjustRightInd w:val="0"/>
              <w:snapToGrid w:val="0"/>
              <w:spacing w:line="560" w:lineRule="exact"/>
              <w:rPr>
                <w:rFonts w:eastAsia="方正仿宋_GBK" w:cs="Courier New"/>
                <w:bCs/>
                <w:snapToGrid w:val="0"/>
                <w:kern w:val="0"/>
                <w:sz w:val="32"/>
                <w:szCs w:val="32"/>
              </w:rPr>
            </w:pPr>
            <w:r>
              <w:rPr>
                <w:rFonts w:hint="eastAsia"/>
                <w:sz w:val="22"/>
                <w:szCs w:val="22"/>
              </w:rPr>
              <w:t>1.境外生产企业应列入《进口食品境外生产企业注册名</w:t>
            </w:r>
            <w:r>
              <w:rPr>
                <w:sz w:val="22"/>
                <w:szCs w:val="22"/>
              </w:rPr>
              <w:t>单</w:t>
            </w:r>
            <w:r>
              <w:rPr>
                <w:rFonts w:hint="eastAsia"/>
                <w:sz w:val="22"/>
                <w:szCs w:val="22"/>
              </w:rPr>
              <w:t>》，链接见备注2；</w:t>
              <w:br/>
              <w:t>2.需随附出口国或地区官方卫生证书；</w:t>
              <w:br/>
              <w:t>3.应当取得国家市场监督管理总局产品配方注册。</w:t>
            </w:r>
          </w:p>
        </w:tc>
        <w:tc>
          <w:tcPr>
            <w:tcW w:w="8100" w:type="dxa"/>
            <w:tcBorders>
              <w:tl2br w:val="nil"/>
              <w:tr2bl w:val="nil"/>
            </w:tcBorders>
          </w:tcPr>
          <w:p>
            <w:pPr>
              <w:pStyle w:val="34"/>
              <w:adjustRightInd w:val="0"/>
              <w:snapToGrid w:val="0"/>
              <w:spacing w:line="560" w:lineRule="exact"/>
              <w:rPr>
                <w:sz w:val="22"/>
                <w:szCs w:val="22"/>
              </w:rPr>
            </w:pPr>
            <w:r>
              <w:rPr>
                <w:rFonts w:hint="eastAsia"/>
                <w:sz w:val="22"/>
                <w:szCs w:val="22"/>
              </w:rPr>
              <w:t>1</w:t>
            </w:r>
            <w:r>
              <w:rPr>
                <w:sz w:val="22"/>
                <w:szCs w:val="22"/>
              </w:rPr>
              <w:t xml:space="preserve">. </w:t>
            </w:r>
            <w:r>
              <w:rPr>
                <w:rFonts w:hint="eastAsia"/>
                <w:sz w:val="22"/>
                <w:szCs w:val="22"/>
              </w:rPr>
              <w:t xml:space="preserve">《符合评估审查要求及有传统贸易的国家或地区输华食品目录》详见 </w:t>
            </w:r>
            <w:r>
              <w:rPr>
                <w:sz w:val="22"/>
                <w:szCs w:val="22"/>
              </w:rPr>
              <w:t>http://jckspj.customs.gov.cn/spj/zwgk75/2706880/index.html</w:t>
            </w:r>
          </w:p>
          <w:p>
            <w:pPr>
              <w:pStyle w:val="35"/>
              <w:adjustRightInd w:val="0"/>
              <w:snapToGrid w:val="0"/>
              <w:spacing w:line="560" w:lineRule="exact"/>
              <w:jc w:val="left"/>
              <w:rPr>
                <w:sz w:val="22"/>
                <w:szCs w:val="22"/>
              </w:rPr>
            </w:pPr>
            <w:r>
              <w:rPr>
                <w:sz w:val="22"/>
                <w:szCs w:val="22"/>
              </w:rPr>
              <w:t xml:space="preserve">2. </w:t>
            </w:r>
            <w:r>
              <w:rPr>
                <w:rFonts w:hint="eastAsia"/>
                <w:sz w:val="22"/>
                <w:szCs w:val="22"/>
              </w:rPr>
              <w:t>《进口食品境外生产企业注册名</w:t>
            </w:r>
            <w:r>
              <w:rPr>
                <w:sz w:val="22"/>
                <w:szCs w:val="22"/>
              </w:rPr>
              <w:t>单</w:t>
            </w:r>
            <w:r>
              <w:rPr>
                <w:rFonts w:hint="eastAsia"/>
                <w:sz w:val="22"/>
                <w:szCs w:val="22"/>
              </w:rPr>
              <w:t>》详见详见 “中国海关门户网站/</w:t>
            </w:r>
            <w:r>
              <w:rPr>
                <w:sz w:val="22"/>
                <w:szCs w:val="22"/>
              </w:rPr>
              <w:t>进出口食品安全局</w:t>
            </w:r>
            <w:r>
              <w:rPr>
                <w:rFonts w:hint="eastAsia"/>
                <w:sz w:val="22"/>
                <w:szCs w:val="22"/>
              </w:rPr>
              <w:t>/信息服务</w:t>
            </w:r>
            <w:r>
              <w:rPr>
                <w:sz w:val="22"/>
                <w:szCs w:val="22"/>
              </w:rPr>
              <w:t>/业务信息</w:t>
            </w:r>
            <w:r>
              <w:rPr>
                <w:rFonts w:hint="eastAsia"/>
                <w:sz w:val="22"/>
                <w:szCs w:val="22"/>
              </w:rPr>
              <w:t>” 栏目中“进口食品境外生产企业注册</w:t>
            </w:r>
            <w:r>
              <w:rPr>
                <w:sz w:val="22"/>
                <w:szCs w:val="22"/>
              </w:rPr>
              <w:t>信息</w:t>
            </w:r>
            <w:r>
              <w:rPr>
                <w:rFonts w:hint="eastAsia"/>
                <w:sz w:val="22"/>
                <w:szCs w:val="22"/>
              </w:rPr>
              <w:t>”</w:t>
              <w:br w:type="page"/>
            </w:r>
            <w:r>
              <w:rPr>
                <w:sz w:val="22"/>
                <w:szCs w:val="22"/>
              </w:rPr>
              <w:t>http://jckspj.customs.gov.cn/spj/zwgk75/2706880/index.html</w:t>
            </w:r>
          </w:p>
          <w:p>
            <w:pPr>
              <w:pStyle w:val="35"/>
              <w:adjustRightInd w:val="0"/>
              <w:snapToGrid w:val="0"/>
              <w:spacing w:line="560" w:lineRule="exact"/>
              <w:jc w:val="left"/>
              <w:rPr>
                <w:rFonts w:eastAsia="方正仿宋_GBK" w:cs="Courier New"/>
                <w:bCs/>
                <w:snapToGrid w:val="0"/>
                <w:kern w:val="0"/>
                <w:sz w:val="32"/>
                <w:szCs w:val="32"/>
              </w:rPr>
            </w:pPr>
            <w:r>
              <w:rPr>
                <w:sz w:val="22"/>
                <w:szCs w:val="22"/>
              </w:rPr>
              <w:t>3</w:t>
            </w:r>
            <w:r>
              <w:rPr>
                <w:rFonts w:hint="eastAsia"/>
                <w:sz w:val="22"/>
                <w:szCs w:val="22"/>
              </w:rPr>
              <w:t>. 婴幼儿配方乳粉产品配方注册信息可向国家市场监督管理总局查询</w:t>
            </w:r>
          </w:p>
        </w:tc>
      </w:tr>
      <w:tr>
        <w:tc>
          <w:tcPr>
            <w:tcW w:w="1226" w:type="dxa"/>
            <w:tcBorders>
              <w:tl2br w:val="nil"/>
              <w:tr2bl w:val="nil"/>
            </w:tcBorders>
            <w:vAlign w:val="center"/>
          </w:tcPr>
          <w:p>
            <w:pPr>
              <w:pStyle w:val="36"/>
              <w:adjustRightInd w:val="0"/>
              <w:snapToGrid w:val="0"/>
              <w:spacing w:line="560" w:lineRule="exact"/>
              <w:jc w:val="center"/>
              <w:rPr>
                <w:rFonts w:eastAsia="方正仿宋_GBK" w:cs="Courier New"/>
                <w:bCs/>
                <w:snapToGrid w:val="0"/>
                <w:kern w:val="0"/>
                <w:sz w:val="32"/>
                <w:szCs w:val="32"/>
              </w:rPr>
            </w:pPr>
            <w:r>
              <w:rPr>
                <w:rFonts w:hint="eastAsia"/>
                <w:sz w:val="22"/>
                <w:szCs w:val="22"/>
              </w:rPr>
              <w:t>5</w:t>
            </w:r>
          </w:p>
        </w:tc>
        <w:tc>
          <w:tcPr>
            <w:tcW w:w="1042" w:type="dxa"/>
            <w:tcBorders>
              <w:tl2br w:val="nil"/>
              <w:tr2bl w:val="nil"/>
            </w:tcBorders>
            <w:vAlign w:val="center"/>
          </w:tcPr>
          <w:p>
            <w:pPr>
              <w:pStyle w:val="37"/>
              <w:adjustRightInd w:val="0"/>
              <w:snapToGrid w:val="0"/>
              <w:spacing w:line="560" w:lineRule="exact"/>
              <w:rPr>
                <w:rFonts w:eastAsia="方正仿宋_GBK" w:cs="Courier New"/>
                <w:bCs/>
                <w:snapToGrid w:val="0"/>
                <w:kern w:val="0"/>
                <w:sz w:val="32"/>
                <w:szCs w:val="32"/>
              </w:rPr>
            </w:pPr>
            <w:r>
              <w:rPr>
                <w:rFonts w:hint="eastAsia"/>
                <w:sz w:val="22"/>
                <w:szCs w:val="22"/>
              </w:rPr>
              <w:t>预包装食品</w:t>
            </w:r>
          </w:p>
        </w:tc>
        <w:tc>
          <w:tcPr>
            <w:tcW w:w="5040" w:type="dxa"/>
            <w:tcBorders>
              <w:tl2br w:val="nil"/>
              <w:tr2bl w:val="nil"/>
            </w:tcBorders>
          </w:tcPr>
          <w:p>
            <w:pPr>
              <w:pStyle w:val="38"/>
              <w:adjustRightInd w:val="0"/>
              <w:snapToGrid w:val="0"/>
              <w:spacing w:line="560" w:lineRule="exact"/>
              <w:jc w:val="left"/>
              <w:rPr>
                <w:sz w:val="22"/>
                <w:szCs w:val="22"/>
              </w:rPr>
            </w:pPr>
            <w:r>
              <w:rPr>
                <w:rFonts w:hint="eastAsia"/>
                <w:sz w:val="22"/>
                <w:szCs w:val="22"/>
              </w:rPr>
              <w:t>展览用途：免予抽样检验，免予加贴中文标签；</w:t>
              <w:br w:type="page"/>
              <w:t>少量试用、品尝的:视审核和验证情况抽取样品（可展前提供）检验，并可免予加贴中文标签；</w:t>
            </w:r>
          </w:p>
          <w:p>
            <w:pPr>
              <w:pStyle w:val="38"/>
              <w:adjustRightInd w:val="0"/>
              <w:snapToGrid w:val="0"/>
              <w:spacing w:line="560" w:lineRule="exact"/>
              <w:jc w:val="left"/>
              <w:rPr>
                <w:sz w:val="22"/>
                <w:szCs w:val="22"/>
              </w:rPr>
            </w:pPr>
            <w:r>
              <w:rPr>
                <w:rFonts w:hint="eastAsia"/>
                <w:sz w:val="22"/>
                <w:szCs w:val="22"/>
              </w:rPr>
              <w:br w:type="page"/>
              <w:t>销售用途：</w:t>
            </w:r>
          </w:p>
          <w:p>
            <w:pPr>
              <w:pStyle w:val="38"/>
              <w:adjustRightInd w:val="0"/>
              <w:snapToGrid w:val="0"/>
              <w:spacing w:line="560" w:lineRule="exact"/>
              <w:jc w:val="left"/>
              <w:rPr>
                <w:rFonts w:eastAsia="方正仿宋_GBK" w:cs="Courier New"/>
                <w:bCs/>
                <w:snapToGrid w:val="0"/>
                <w:kern w:val="0"/>
                <w:sz w:val="32"/>
                <w:szCs w:val="32"/>
              </w:rPr>
            </w:pPr>
            <w:r>
              <w:rPr>
                <w:rFonts w:hint="eastAsia"/>
                <w:sz w:val="22"/>
                <w:szCs w:val="22"/>
              </w:rPr>
              <w:t>1.应有中文标签；                                                                                     2.</w:t>
            </w:r>
            <w:r>
              <w:rPr>
                <w:sz w:val="22"/>
                <w:szCs w:val="22"/>
              </w:rPr>
              <w:t>保健食品和特殊医学用途配方食品应取得市场监管部门的注册或备案</w:t>
            </w:r>
            <w:r>
              <w:rPr>
                <w:rFonts w:hint="eastAsia"/>
                <w:sz w:val="22"/>
                <w:szCs w:val="22"/>
              </w:rPr>
              <w:t xml:space="preserve">。    </w:t>
            </w:r>
          </w:p>
        </w:tc>
        <w:tc>
          <w:tcPr>
            <w:tcW w:w="8100" w:type="dxa"/>
            <w:tcBorders>
              <w:tl2br w:val="nil"/>
              <w:tr2bl w:val="nil"/>
            </w:tcBorders>
            <w:vAlign w:val="center"/>
          </w:tcPr>
          <w:p>
            <w:pPr>
              <w:pStyle w:val="39"/>
              <w:adjustRightInd w:val="0"/>
              <w:snapToGrid w:val="0"/>
              <w:spacing w:line="560" w:lineRule="exact"/>
              <w:rPr>
                <w:rFonts w:eastAsia="方正仿宋_GBK" w:cs="Courier New"/>
                <w:bCs/>
                <w:snapToGrid w:val="0"/>
                <w:kern w:val="0"/>
                <w:sz w:val="32"/>
                <w:szCs w:val="32"/>
              </w:rPr>
            </w:pPr>
            <w:r>
              <w:rPr>
                <w:rFonts w:hint="eastAsia"/>
                <w:sz w:val="22"/>
                <w:szCs w:val="22"/>
              </w:rPr>
              <w:t>《保健食品注册证书》、《保健食品备案凭证》、《特殊医学用途配方食品注册证书》可向国家市场监督管理总局查询</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6</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纳入中国实施许可和必须实施认证范围的相关进口产品</w:t>
            </w:r>
          </w:p>
        </w:tc>
        <w:tc>
          <w:tcPr>
            <w:tcW w:w="5040" w:type="dxa"/>
            <w:tcBorders>
              <w:tl2br w:val="nil"/>
              <w:tr2bl w:val="nil"/>
            </w:tcBorders>
          </w:tcPr>
          <w:p>
            <w:pPr>
              <w:adjustRightInd w:val="0"/>
              <w:snapToGrid w:val="0"/>
              <w:spacing w:line="560" w:lineRule="exact"/>
              <w:rPr>
                <w:rFonts w:eastAsia="方正仿宋_GBK" w:cs="Courier New"/>
                <w:bCs/>
                <w:snapToGrid w:val="0"/>
                <w:kern w:val="0"/>
                <w:sz w:val="32"/>
                <w:szCs w:val="32"/>
              </w:rPr>
            </w:pPr>
            <w:r>
              <w:rPr>
                <w:rFonts w:hint="eastAsia"/>
                <w:sz w:val="22"/>
                <w:szCs w:val="22"/>
              </w:rPr>
              <w:t>展览用途：不做限制。</w:t>
              <w:br/>
              <w:t>销售用途：</w:t>
              <w:br/>
              <w:t>销售产品须获得许可/认证，或免于办理许可/认证凭证。</w:t>
            </w:r>
          </w:p>
        </w:tc>
        <w:tc>
          <w:tcPr>
            <w:tcW w:w="8100" w:type="dxa"/>
            <w:tcBorders>
              <w:tl2br w:val="nil"/>
              <w:tr2bl w:val="nil"/>
            </w:tcBorders>
          </w:tcPr>
          <w:p>
            <w:pPr>
              <w:pStyle w:val="87"/>
              <w:adjustRightInd w:val="0"/>
              <w:snapToGrid w:val="0"/>
              <w:spacing w:line="560" w:lineRule="exact"/>
              <w:jc w:val="left"/>
              <w:rPr>
                <w:sz w:val="22"/>
                <w:szCs w:val="22"/>
              </w:rPr>
            </w:pPr>
            <w:r>
              <w:rPr>
                <w:sz w:val="22"/>
                <w:szCs w:val="22"/>
              </w:rPr>
              <w:t>强制性产品认证目录、特种设备目录可向国家市场监督管理总局查询</w:t>
            </w:r>
          </w:p>
          <w:p>
            <w:pPr>
              <w:adjustRightInd w:val="0"/>
              <w:snapToGrid w:val="0"/>
              <w:spacing w:line="560" w:lineRule="exact"/>
              <w:jc w:val="left"/>
              <w:rPr>
                <w:rFonts w:eastAsia="方正仿宋_GBK" w:cs="Courier New"/>
                <w:bCs/>
                <w:snapToGrid w:val="0"/>
                <w:kern w:val="0"/>
                <w:sz w:val="32"/>
                <w:szCs w:val="32"/>
              </w:rPr>
            </w:pPr>
            <w:r>
              <w:rPr>
                <w:sz w:val="22"/>
                <w:szCs w:val="22"/>
              </w:rPr>
              <w:t>医疗器械分类目录可向国家药品监督管理局查询</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7</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纳入能效标识管理范围的产品</w:t>
            </w:r>
          </w:p>
        </w:tc>
        <w:tc>
          <w:tcPr>
            <w:tcW w:w="5040" w:type="dxa"/>
            <w:tcBorders>
              <w:tl2br w:val="nil"/>
              <w:tr2bl w:val="nil"/>
            </w:tcBorders>
          </w:tcPr>
          <w:p>
            <w:pPr>
              <w:adjustRightInd w:val="0"/>
              <w:snapToGrid w:val="0"/>
              <w:spacing w:line="560" w:lineRule="exact"/>
              <w:rPr>
                <w:rFonts w:eastAsia="方正仿宋_GBK" w:cs="Courier New"/>
                <w:bCs/>
                <w:snapToGrid w:val="0"/>
                <w:kern w:val="0"/>
                <w:sz w:val="32"/>
                <w:szCs w:val="32"/>
              </w:rPr>
            </w:pPr>
            <w:r>
              <w:rPr>
                <w:rFonts w:hint="eastAsia"/>
                <w:sz w:val="22"/>
                <w:szCs w:val="22"/>
              </w:rPr>
              <w:t>展览用途：不做限制。</w:t>
              <w:br/>
              <w:t>销售用途：销售产品须按国家规定加贴能效标识。</w:t>
            </w:r>
          </w:p>
        </w:tc>
        <w:tc>
          <w:tcPr>
            <w:tcW w:w="8100" w:type="dxa"/>
            <w:tcBorders>
              <w:tl2br w:val="nil"/>
              <w:tr2bl w:val="nil"/>
            </w:tcBorders>
          </w:tcPr>
          <w:p>
            <w:pPr>
              <w:adjustRightInd w:val="0"/>
              <w:snapToGrid w:val="0"/>
              <w:spacing w:line="560" w:lineRule="exact"/>
              <w:rPr>
                <w:rFonts w:eastAsia="方正仿宋_GBK" w:cs="Courier New"/>
                <w:bCs/>
                <w:snapToGrid w:val="0"/>
                <w:kern w:val="0"/>
                <w:sz w:val="32"/>
                <w:szCs w:val="32"/>
              </w:rPr>
            </w:pPr>
            <w:r>
              <w:rPr>
                <w:sz w:val="22"/>
                <w:szCs w:val="22"/>
              </w:rPr>
              <w:t>实行能源效率标识的产品目录可向国家发展和改革委员会、国家市场监督管理总局查询</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8</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风险等级A、B级特殊物品</w:t>
            </w:r>
          </w:p>
        </w:tc>
        <w:tc>
          <w:tcPr>
            <w:tcW w:w="5040" w:type="dxa"/>
            <w:tcBorders>
              <w:tl2br w:val="nil"/>
              <w:tr2bl w:val="nil"/>
            </w:tcBorders>
          </w:tcPr>
          <w:p>
            <w:pPr>
              <w:adjustRightInd w:val="0"/>
              <w:snapToGrid w:val="0"/>
              <w:spacing w:line="560" w:lineRule="exact"/>
              <w:rPr>
                <w:rFonts w:eastAsia="方正仿宋_GBK" w:cs="Courier New"/>
                <w:bCs/>
                <w:snapToGrid w:val="0"/>
                <w:kern w:val="0"/>
                <w:sz w:val="32"/>
                <w:szCs w:val="32"/>
              </w:rPr>
            </w:pPr>
            <w:r>
              <w:rPr>
                <w:rFonts w:hint="eastAsia"/>
                <w:sz w:val="22"/>
                <w:szCs w:val="22"/>
              </w:rPr>
              <w:t>1.入境需办理卫生检疫审批；</w:t>
              <w:br/>
              <w:t>2.展览现场必须具备相关生物安全控制条件。</w:t>
            </w:r>
          </w:p>
        </w:tc>
        <w:tc>
          <w:tcPr>
            <w:tcW w:w="8100" w:type="dxa"/>
            <w:tcBorders>
              <w:tl2br w:val="nil"/>
              <w:tr2bl w:val="nil"/>
            </w:tcBorders>
          </w:tcPr>
          <w:p>
            <w:pPr>
              <w:adjustRightInd w:val="0"/>
              <w:snapToGrid w:val="0"/>
              <w:spacing w:line="560" w:lineRule="exact"/>
              <w:jc w:val="left"/>
              <w:rPr>
                <w:sz w:val="22"/>
                <w:szCs w:val="22"/>
              </w:rPr>
            </w:pPr>
            <w:r>
              <w:rPr>
                <w:rFonts w:hint="eastAsia"/>
                <w:sz w:val="22"/>
                <w:szCs w:val="22"/>
              </w:rPr>
              <w:t>详见官方网站：</w:t>
            </w:r>
          </w:p>
          <w:p>
            <w:pPr>
              <w:adjustRightInd w:val="0"/>
              <w:snapToGrid w:val="0"/>
              <w:spacing w:line="560" w:lineRule="exact"/>
              <w:jc w:val="left"/>
              <w:rPr>
                <w:rFonts w:eastAsia="方正仿宋_GBK" w:cs="Courier New"/>
                <w:bCs/>
                <w:snapToGrid w:val="0"/>
                <w:kern w:val="0"/>
                <w:sz w:val="32"/>
                <w:szCs w:val="32"/>
              </w:rPr>
            </w:pPr>
            <w:r>
              <w:rPr>
                <w:rFonts w:hint="eastAsia"/>
                <w:sz w:val="22"/>
                <w:szCs w:val="22"/>
              </w:rPr>
              <w:t>《出入境特殊物品卫生检疫管理规定》</w:t>
            </w:r>
            <w:r>
              <w:rPr>
                <w:sz w:val="22"/>
                <w:szCs w:val="22"/>
              </w:rPr>
              <w:t>（原质检总局令</w:t>
            </w:r>
            <w:r>
              <w:rPr>
                <w:rFonts w:hint="eastAsia"/>
                <w:sz w:val="22"/>
                <w:szCs w:val="22"/>
              </w:rPr>
              <w:t>第160号</w:t>
            </w:r>
            <w:r>
              <w:rPr>
                <w:sz w:val="22"/>
                <w:szCs w:val="22"/>
              </w:rPr>
              <w:t>，</w:t>
            </w:r>
            <w:r>
              <w:rPr>
                <w:rFonts w:hint="eastAsia"/>
                <w:kern w:val="60"/>
                <w:sz w:val="22"/>
                <w:szCs w:val="22"/>
              </w:rPr>
              <w:t>根据</w:t>
            </w:r>
            <w:r>
              <w:rPr>
                <w:kern w:val="60"/>
                <w:sz w:val="22"/>
                <w:szCs w:val="22"/>
              </w:rPr>
              <w:t>原质检</w:t>
            </w:r>
            <w:r>
              <w:rPr>
                <w:rFonts w:hint="eastAsia"/>
                <w:kern w:val="60"/>
                <w:sz w:val="22"/>
                <w:szCs w:val="22"/>
              </w:rPr>
              <w:t>总局令第184号、</w:t>
            </w:r>
            <w:r>
              <w:rPr>
                <w:kern w:val="60"/>
                <w:sz w:val="22"/>
                <w:szCs w:val="22"/>
              </w:rPr>
              <w:t>海关总署令第238号</w:t>
            </w:r>
            <w:r>
              <w:rPr>
                <w:rFonts w:hint="eastAsia"/>
                <w:kern w:val="60"/>
                <w:sz w:val="22"/>
                <w:szCs w:val="22"/>
              </w:rPr>
              <w:t>、第240号</w:t>
            </w:r>
            <w:r>
              <w:rPr>
                <w:kern w:val="60"/>
                <w:sz w:val="22"/>
                <w:szCs w:val="22"/>
              </w:rPr>
              <w:t>、第243号修改</w:t>
            </w:r>
            <w:r>
              <w:rPr>
                <w:sz w:val="22"/>
                <w:szCs w:val="22"/>
              </w:rPr>
              <w:t>）</w:t>
            </w:r>
            <w:r>
              <w:rPr>
                <w:rFonts w:hint="eastAsia"/>
                <w:sz w:val="22"/>
                <w:szCs w:val="22"/>
              </w:rPr>
              <w:t>和《出入境特殊物品风险管理工作规范》（国质检卫[2015]第269号）</w:t>
            </w:r>
            <w:r>
              <w:rPr>
                <w:sz w:val="22"/>
                <w:szCs w:val="22"/>
              </w:rPr>
              <w:t>http://www.customs.gov.cn/customs/302249/302266/302267/2114821/index.html</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9</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风险等级C、D级特殊物品</w:t>
            </w:r>
          </w:p>
        </w:tc>
        <w:tc>
          <w:tcPr>
            <w:tcW w:w="5040" w:type="dxa"/>
            <w:tcBorders>
              <w:tl2br w:val="nil"/>
              <w:tr2bl w:val="nil"/>
            </w:tcBorders>
          </w:tcPr>
          <w:p>
            <w:pPr>
              <w:adjustRightInd w:val="0"/>
              <w:snapToGrid w:val="0"/>
              <w:spacing w:line="560" w:lineRule="exact"/>
              <w:rPr>
                <w:rFonts w:eastAsia="方正仿宋_GBK" w:cs="Courier New"/>
                <w:bCs/>
                <w:snapToGrid w:val="0"/>
                <w:kern w:val="0"/>
                <w:sz w:val="32"/>
                <w:szCs w:val="32"/>
              </w:rPr>
            </w:pPr>
            <w:r>
              <w:rPr>
                <w:rFonts w:hint="eastAsia"/>
                <w:sz w:val="22"/>
                <w:szCs w:val="22"/>
              </w:rPr>
              <w:t>入境需办理卫生检疫审批。</w:t>
            </w:r>
          </w:p>
        </w:tc>
        <w:tc>
          <w:tcPr>
            <w:tcW w:w="8100"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rFonts w:hint="eastAsia"/>
                <w:sz w:val="22"/>
                <w:szCs w:val="22"/>
              </w:rPr>
              <w:t>10</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科研和制药用生物材料</w:t>
            </w:r>
          </w:p>
        </w:tc>
        <w:tc>
          <w:tcPr>
            <w:tcW w:w="5040"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展览用途：</w:t>
              <w:br/>
              <w:t>按照《进境生物材料风险级别及检疫监管措施清单》执行。</w:t>
              <w:br/>
              <w:t>展销用途：</w:t>
              <w:br/>
              <w:t>1. 符合《授权动植物检疫审批的进境生物材料清单》的要求；</w:t>
              <w:br/>
              <w:t>2. 按照《进境生物材料风险级别及检疫监管措施清单》执行。</w:t>
            </w:r>
          </w:p>
        </w:tc>
        <w:tc>
          <w:tcPr>
            <w:tcW w:w="8100" w:type="dxa"/>
            <w:tcBorders>
              <w:tl2br w:val="nil"/>
              <w:tr2bl w:val="nil"/>
            </w:tcBorders>
          </w:tcPr>
          <w:p>
            <w:pPr>
              <w:adjustRightInd w:val="0"/>
              <w:snapToGrid w:val="0"/>
              <w:spacing w:line="560" w:lineRule="exact"/>
              <w:jc w:val="left"/>
              <w:rPr>
                <w:sz w:val="22"/>
                <w:szCs w:val="22"/>
              </w:rPr>
            </w:pPr>
            <w:r>
              <w:rPr>
                <w:rFonts w:hint="eastAsia"/>
                <w:sz w:val="22"/>
                <w:szCs w:val="22"/>
              </w:rPr>
              <w:t>详见官方网站:</w:t>
              <w:br/>
              <w:t>《授权动植物检疫审批的进境生物材料清单》、《进境生物材料风险级别及检验检疫监管措施清单》</w:t>
            </w:r>
          </w:p>
          <w:p>
            <w:pPr>
              <w:adjustRightInd w:val="0"/>
              <w:snapToGrid w:val="0"/>
              <w:spacing w:line="560" w:lineRule="exact"/>
              <w:jc w:val="left"/>
              <w:rPr>
                <w:rFonts w:eastAsia="方正仿宋_GBK" w:cs="Courier New"/>
                <w:bCs/>
                <w:snapToGrid w:val="0"/>
                <w:kern w:val="0"/>
                <w:sz w:val="32"/>
                <w:szCs w:val="32"/>
              </w:rPr>
            </w:pPr>
            <w:r>
              <w:rPr>
                <w:sz w:val="22"/>
                <w:szCs w:val="22"/>
              </w:rPr>
              <w:t>http://dzs.customs.gov.cn/dzs/2746776/2753479/index.html</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szCs w:val="21"/>
              </w:rPr>
              <w:t>11</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Cs w:val="21"/>
              </w:rPr>
              <w:t>毛坯钻石</w:t>
            </w:r>
          </w:p>
        </w:tc>
        <w:tc>
          <w:tcPr>
            <w:tcW w:w="5040"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Cs w:val="21"/>
              </w:rPr>
              <w:t>需随附毛坯钻石出口国政府主管机构签发的金伯利进程国际证书正本。</w:t>
            </w:r>
          </w:p>
        </w:tc>
        <w:tc>
          <w:tcPr>
            <w:tcW w:w="8100" w:type="dxa"/>
            <w:tcBorders>
              <w:tl2br w:val="nil"/>
              <w:tr2bl w:val="nil"/>
            </w:tcBorders>
          </w:tcPr>
          <w:p>
            <w:pPr>
              <w:adjustRightInd w:val="0"/>
              <w:snapToGrid w:val="0"/>
              <w:spacing w:line="560" w:lineRule="exact"/>
              <w:jc w:val="left"/>
              <w:rPr>
                <w:szCs w:val="21"/>
              </w:rPr>
            </w:pPr>
            <w:r>
              <w:rPr>
                <w:rFonts w:hint="eastAsia"/>
                <w:szCs w:val="21"/>
              </w:rPr>
              <w:t>详见官方网站：</w:t>
            </w:r>
          </w:p>
          <w:p>
            <w:pPr>
              <w:adjustRightInd w:val="0"/>
              <w:snapToGrid w:val="0"/>
              <w:spacing w:line="560" w:lineRule="exact"/>
              <w:jc w:val="left"/>
              <w:rPr>
                <w:rFonts w:eastAsia="方正仿宋_GBK" w:cs="Courier New"/>
                <w:bCs/>
                <w:snapToGrid w:val="0"/>
                <w:kern w:val="0"/>
                <w:sz w:val="32"/>
                <w:szCs w:val="32"/>
              </w:rPr>
            </w:pPr>
            <w:r>
              <w:rPr>
                <w:rFonts w:hint="eastAsia"/>
                <w:szCs w:val="21"/>
              </w:rPr>
              <w:br w:type="page"/>
              <w:t>1.金伯利进程六部委联合公告</w:t>
            </w:r>
            <w:r>
              <w:rPr>
                <w:sz w:val="22"/>
                <w:szCs w:val="22"/>
              </w:rPr>
              <w:t>http://www.customs.gov.cn/customs/302249/302266/302267/356668/index.html</w:t>
            </w:r>
            <w:r>
              <w:rPr>
                <w:rFonts w:hint="eastAsia"/>
                <w:szCs w:val="21"/>
              </w:rPr>
              <w:t xml:space="preserve">                                                                                                                                                       2.中华人民共和国实施金伯利进程国际证书制度管理规定</w:t>
            </w:r>
            <w:r>
              <w:rPr>
                <w:sz w:val="22"/>
                <w:szCs w:val="22"/>
              </w:rPr>
              <w:t>http://www.customs.gov.cn/customs/302249/302266/302267/2372773/index.html</w:t>
            </w:r>
          </w:p>
        </w:tc>
      </w:tr>
      <w:tr>
        <w:tc>
          <w:tcPr>
            <w:tcW w:w="1226" w:type="dxa"/>
            <w:tcBorders>
              <w:tl2br w:val="nil"/>
              <w:tr2bl w:val="nil"/>
            </w:tcBorders>
            <w:vAlign w:val="center"/>
          </w:tcPr>
          <w:p>
            <w:pPr>
              <w:adjustRightInd w:val="0"/>
              <w:snapToGrid w:val="0"/>
              <w:spacing w:line="560" w:lineRule="exact"/>
              <w:jc w:val="center"/>
              <w:rPr>
                <w:rFonts w:eastAsia="方正仿宋_GBK" w:cs="Courier New"/>
                <w:bCs/>
                <w:snapToGrid w:val="0"/>
                <w:kern w:val="0"/>
                <w:sz w:val="32"/>
                <w:szCs w:val="32"/>
              </w:rPr>
            </w:pPr>
            <w:r>
              <w:rPr>
                <w:szCs w:val="21"/>
              </w:rPr>
              <w:t>12</w:t>
            </w:r>
          </w:p>
        </w:tc>
        <w:tc>
          <w:tcPr>
            <w:tcW w:w="1042"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Cs w:val="21"/>
              </w:rPr>
              <w:t>危险化学品</w:t>
            </w:r>
          </w:p>
        </w:tc>
        <w:tc>
          <w:tcPr>
            <w:tcW w:w="5040" w:type="dxa"/>
            <w:tcBorders>
              <w:tl2br w:val="nil"/>
              <w:tr2bl w:val="nil"/>
            </w:tcBorders>
            <w:vAlign w:val="center"/>
          </w:tcPr>
          <w:p>
            <w:pPr>
              <w:adjustRightInd w:val="0"/>
              <w:snapToGrid w:val="0"/>
              <w:spacing w:line="560" w:lineRule="exact"/>
              <w:rPr>
                <w:rFonts w:eastAsia="方正仿宋_GBK" w:cs="Courier New"/>
                <w:bCs/>
                <w:snapToGrid w:val="0"/>
                <w:kern w:val="0"/>
                <w:sz w:val="32"/>
                <w:szCs w:val="32"/>
              </w:rPr>
            </w:pPr>
            <w:r>
              <w:rPr>
                <w:rFonts w:hint="eastAsia"/>
                <w:sz w:val="22"/>
                <w:szCs w:val="22"/>
              </w:rPr>
              <w:t>列入《危险化学品目录（2015版）》的危险化学品</w:t>
            </w:r>
            <w:r>
              <w:rPr>
                <w:rFonts w:hint="eastAsia"/>
                <w:bCs/>
                <w:color w:val="000000"/>
              </w:rPr>
              <w:t>应符合《关于进出口危险化学品及其包装检验监管有关问题的公告》（海关总署2020年第129号公告）的规定</w:t>
            </w:r>
            <w:r>
              <w:rPr>
                <w:rFonts w:hint="eastAsia"/>
                <w:sz w:val="22"/>
                <w:szCs w:val="22"/>
              </w:rPr>
              <w:t>，经海关检验合格后方可入境。</w:t>
            </w:r>
          </w:p>
        </w:tc>
        <w:tc>
          <w:tcPr>
            <w:tcW w:w="8100" w:type="dxa"/>
            <w:tcBorders>
              <w:tl2br w:val="nil"/>
              <w:tr2bl w:val="nil"/>
            </w:tcBorders>
          </w:tcPr>
          <w:p>
            <w:pPr>
              <w:adjustRightInd w:val="0"/>
              <w:snapToGrid w:val="0"/>
              <w:spacing w:line="560" w:lineRule="exact"/>
              <w:jc w:val="left"/>
              <w:rPr>
                <w:rFonts w:ascii="宋体" w:cs="宋体"/>
                <w:kern w:val="0"/>
                <w:sz w:val="22"/>
                <w:szCs w:val="22"/>
              </w:rPr>
            </w:pPr>
            <w:r>
              <w:rPr>
                <w:rFonts w:ascii="宋体" w:cs="宋体" w:hint="eastAsia"/>
                <w:kern w:val="0"/>
                <w:sz w:val="22"/>
                <w:szCs w:val="22"/>
              </w:rPr>
              <w:t xml:space="preserve">详见《危险化学品目录（2015版）》（安全监管总局、 工业和信息化部、公安部、环境保护部、交通运输部、农业部、国家卫生计生委、质检总局、铁路局、民航局2015年第5号公告）（见应急管理部官方网站：https://www.mem.gov.cn/gk/gwgg/xgxywj/wxhxp_228/201503/t20150309_232632.shtml）   </w:t>
            </w:r>
          </w:p>
        </w:tc>
      </w:tr>
    </w:tbl>
    <w:p>
      <w:pPr>
        <w:adjustRightInd w:val="0"/>
        <w:snapToGrid w:val="0"/>
        <w:spacing w:line="560" w:lineRule="exact"/>
        <w:jc w:val="left"/>
        <w:rPr>
          <w:sz w:val="22"/>
          <w:szCs w:val="22"/>
        </w:rPr>
      </w:pPr>
      <w:r>
        <w:rPr>
          <w:rFonts w:hint="eastAsia"/>
          <w:sz w:val="22"/>
          <w:szCs w:val="22"/>
        </w:rPr>
        <w:t>注</w:t>
      </w:r>
      <w:r>
        <w:rPr>
          <w:sz w:val="22"/>
          <w:szCs w:val="22"/>
        </w:rPr>
        <w:t>：</w:t>
      </w:r>
      <w:r>
        <w:rPr>
          <w:rFonts w:hint="eastAsia"/>
          <w:sz w:val="22"/>
          <w:szCs w:val="22"/>
        </w:rPr>
        <w:t>暂</w:t>
      </w:r>
      <w:r>
        <w:rPr>
          <w:sz w:val="22"/>
          <w:szCs w:val="22"/>
        </w:rPr>
        <w:t>时进出境</w:t>
      </w:r>
      <w:r>
        <w:rPr>
          <w:rFonts w:hint="eastAsia"/>
          <w:sz w:val="22"/>
          <w:szCs w:val="22"/>
        </w:rPr>
        <w:t>的</w:t>
      </w:r>
      <w:r>
        <w:rPr>
          <w:sz w:val="22"/>
          <w:szCs w:val="22"/>
        </w:rPr>
        <w:t>展览用途</w:t>
      </w:r>
      <w:r>
        <w:rPr>
          <w:rFonts w:hint="eastAsia"/>
          <w:sz w:val="22"/>
          <w:szCs w:val="22"/>
        </w:rPr>
        <w:t>物资，</w:t>
      </w:r>
      <w:r>
        <w:rPr>
          <w:sz w:val="22"/>
          <w:szCs w:val="22"/>
        </w:rPr>
        <w:t>依</w:t>
      </w:r>
      <w:r>
        <w:rPr>
          <w:rFonts w:hint="eastAsia"/>
          <w:sz w:val="22"/>
          <w:szCs w:val="22"/>
        </w:rPr>
        <w:t>法</w:t>
      </w:r>
      <w:r>
        <w:rPr>
          <w:sz w:val="22"/>
          <w:szCs w:val="22"/>
        </w:rPr>
        <w:t>免予检验</w:t>
      </w:r>
      <w:r>
        <w:rPr>
          <w:rFonts w:hint="eastAsia"/>
          <w:sz w:val="22"/>
          <w:szCs w:val="22"/>
        </w:rPr>
        <w:t>，但</w:t>
      </w:r>
      <w:r>
        <w:rPr>
          <w:sz w:val="22"/>
          <w:szCs w:val="22"/>
        </w:rPr>
        <w:t>法律、行政法规另有规定的除外。</w:t>
      </w: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sectPr>
          <w:pgSz w:w="16840" w:h="11907" w:orient="landscape"/>
          <w:pgMar w:top="1797" w:right="1440" w:bottom="1797" w:left="1440" w:header="851" w:footer="992" w:gutter="0"/>
          <w:docGrid w:type="lines" w:linePitch="312" w:charSpace="0"/>
        </w:sectPr>
      </w:pPr>
    </w:p>
    <w:p>
      <w:pPr>
        <w:pStyle w:val="40"/>
        <w:ind w:firstLineChars="0" w:firstLine="0"/>
        <w:rPr>
          <w:rFonts w:ascii="方正黑体_GBK" w:eastAsia="方正黑体_GBK"/>
        </w:rPr>
      </w:pPr>
      <w:bookmarkStart w:id="3" w:name="_Toc513187368"/>
      <w:r>
        <w:rPr>
          <w:rFonts w:ascii="方正黑体_GBK" w:eastAsia="方正黑体_GBK" w:hint="eastAsia"/>
        </w:rPr>
        <w:t>附</w:t>
      </w:r>
      <w:r>
        <w:rPr>
          <w:rFonts w:ascii="方正黑体_GBK" w:eastAsia="方正黑体_GBK"/>
        </w:rPr>
        <w:t>表</w:t>
      </w:r>
      <w:r>
        <w:rPr>
          <w:rFonts w:ascii="方正黑体_GBK" w:eastAsia="方正黑体_GBK" w:hint="eastAsia"/>
        </w:rPr>
        <w:t>5</w:t>
      </w:r>
    </w:p>
    <w:p>
      <w:pPr>
        <w:pStyle w:val="40"/>
        <w:ind w:firstLineChars="0" w:firstLine="0"/>
        <w:rPr>
          <w:rFonts w:ascii="方正黑体_GBK" w:eastAsia="方正黑体_GBK"/>
        </w:rPr>
      </w:pPr>
    </w:p>
    <w:p>
      <w:pPr>
        <w:pStyle w:val="40"/>
        <w:ind w:firstLineChars="0" w:firstLine="0"/>
        <w:jc w:val="center"/>
        <w:rPr>
          <w:rFonts w:ascii="方正小标宋_GBK" w:eastAsia="方正小标宋_GBK"/>
          <w:sz w:val="44"/>
          <w:szCs w:val="44"/>
        </w:rPr>
      </w:pPr>
      <w:r>
        <w:rPr>
          <w:rFonts w:ascii="方正小标宋_GBK" w:eastAsia="方正小标宋_GBK" w:hint="eastAsia"/>
          <w:sz w:val="44"/>
          <w:szCs w:val="44"/>
        </w:rPr>
        <w:t>出入境人员携带物检疫管理办法</w:t>
      </w:r>
      <w:bookmarkEnd w:id="3"/>
    </w:p>
    <w:p>
      <w:pPr>
        <w:pStyle w:val="40"/>
        <w:ind w:firstLineChars="0" w:firstLine="0"/>
        <w:jc w:val="center"/>
        <w:rPr>
          <w:rFonts w:ascii="方正小标宋_GBK" w:eastAsia="方正小标宋_GBK"/>
          <w:sz w:val="44"/>
          <w:szCs w:val="44"/>
        </w:rPr>
      </w:pPr>
    </w:p>
    <w:p>
      <w:pPr>
        <w:pStyle w:val="40"/>
        <w:widowControl/>
        <w:autoSpaceDN w:val="0"/>
        <w:ind w:firstLineChars="0" w:firstLine="0"/>
        <w:jc w:val="center"/>
        <w:rPr>
          <w:rFonts w:eastAsia="方正黑体_GBK"/>
          <w:kern w:val="0"/>
        </w:rPr>
      </w:pPr>
      <w:r>
        <w:rPr>
          <w:rFonts w:eastAsia="方正黑体_GBK" w:hint="eastAsia"/>
          <w:kern w:val="0"/>
        </w:rPr>
        <w:t>第一章 总 则</w:t>
      </w:r>
    </w:p>
    <w:p>
      <w:pPr>
        <w:pStyle w:val="40"/>
        <w:widowControl/>
        <w:autoSpaceDN w:val="0"/>
        <w:jc w:val="center"/>
        <w:rPr>
          <w:rFonts w:eastAsia="方正黑体_GBK"/>
          <w:kern w:val="0"/>
        </w:rPr>
      </w:pPr>
    </w:p>
    <w:p>
      <w:pPr>
        <w:pStyle w:val="40"/>
        <w:widowControl/>
        <w:autoSpaceDN w:val="0"/>
        <w:jc w:val="both"/>
        <w:rPr>
          <w:kern w:val="0"/>
        </w:rPr>
      </w:pPr>
      <w:r>
        <w:rPr>
          <w:rFonts w:eastAsia="方正黑体_GBK" w:hint="eastAsia"/>
          <w:kern w:val="0"/>
        </w:rPr>
        <w:t>第一条</w:t>
      </w:r>
      <w:r>
        <w:rPr>
          <w:rFonts w:hint="eastAsia"/>
          <w:kern w:val="0"/>
        </w:rPr>
        <w:t>为了防止人类传染病及其医学媒介生物、动物传染病、寄生虫病和植物危险性病、虫、杂草以及其他有害生物经国境传入、传出，保护人体健康和农、林、牧、渔业以及环境安全，依据《中华人民共和国进出境动植物检疫法》及其实施条例、《中华人民共和国国境卫生检疫法》及其实施细则、《农业转基因生物安全管理条例》《中华人民共和国濒危野生动植物进出口管理条例》等法律法规的规定，制定本办法。</w:t>
      </w:r>
    </w:p>
    <w:p>
      <w:pPr>
        <w:pStyle w:val="40"/>
        <w:widowControl/>
        <w:autoSpaceDN w:val="0"/>
        <w:jc w:val="both"/>
        <w:rPr>
          <w:kern w:val="0"/>
        </w:rPr>
      </w:pPr>
      <w:r>
        <w:rPr>
          <w:rFonts w:eastAsia="方正黑体_GBK" w:hint="eastAsia"/>
          <w:kern w:val="0"/>
        </w:rPr>
        <w:t>第二条</w:t>
      </w:r>
      <w:r>
        <w:rPr>
          <w:rFonts w:hint="eastAsia"/>
          <w:kern w:val="0"/>
        </w:rPr>
        <w:t>本办法所称出入境人员，是指出入境的旅客（包括享有外交、领事特权与豁免权的外交代表）和交通工具的员工以及其他人员。</w:t>
      </w:r>
    </w:p>
    <w:p>
      <w:pPr>
        <w:pStyle w:val="40"/>
        <w:widowControl/>
        <w:autoSpaceDN w:val="0"/>
        <w:jc w:val="both"/>
        <w:rPr>
          <w:kern w:val="0"/>
        </w:rPr>
      </w:pPr>
      <w:r>
        <w:rPr>
          <w:rFonts w:hint="eastAsia"/>
          <w:kern w:val="0"/>
        </w:rPr>
        <w:t>本办法所称携带物，是指出入境人员随身携带以及随所搭乘的车、船、飞机等交通工具托运的物品和分离运输的物品。</w:t>
      </w:r>
    </w:p>
    <w:p>
      <w:pPr>
        <w:pStyle w:val="40"/>
        <w:widowControl/>
        <w:autoSpaceDN w:val="0"/>
        <w:jc w:val="both"/>
        <w:rPr>
          <w:kern w:val="0"/>
        </w:rPr>
      </w:pPr>
      <w:r>
        <w:rPr>
          <w:rFonts w:eastAsia="方正黑体_GBK" w:hint="eastAsia"/>
          <w:kern w:val="0"/>
        </w:rPr>
        <w:t>第三条</w:t>
      </w:r>
      <w:r>
        <w:rPr>
          <w:rFonts w:hint="eastAsia"/>
          <w:kern w:val="0"/>
        </w:rPr>
        <w:t>海关总署主管全国出入境人员携带物检疫和监督管理工作。</w:t>
      </w:r>
    </w:p>
    <w:p>
      <w:pPr>
        <w:pStyle w:val="40"/>
        <w:widowControl/>
        <w:autoSpaceDN w:val="0"/>
        <w:jc w:val="both"/>
        <w:rPr>
          <w:kern w:val="0"/>
        </w:rPr>
      </w:pPr>
      <w:r>
        <w:rPr>
          <w:rFonts w:hint="eastAsia"/>
          <w:kern w:val="0"/>
        </w:rPr>
        <w:t>主管海关负责所辖地区出入境人员携带物检疫和监督管理工作。</w:t>
      </w:r>
    </w:p>
    <w:p>
      <w:pPr>
        <w:pStyle w:val="40"/>
        <w:widowControl/>
        <w:autoSpaceDN w:val="0"/>
        <w:jc w:val="both"/>
        <w:rPr>
          <w:kern w:val="0"/>
        </w:rPr>
      </w:pPr>
      <w:r>
        <w:rPr>
          <w:rFonts w:eastAsia="方正黑体_GBK" w:hint="eastAsia"/>
          <w:kern w:val="0"/>
        </w:rPr>
        <w:t>第四条</w:t>
      </w:r>
      <w:r>
        <w:rPr>
          <w:rFonts w:hint="eastAsia"/>
          <w:kern w:val="0"/>
        </w:rPr>
        <w:t>出入境人员携带下列物品，应当向海关申报并接受检疫：</w:t>
      </w:r>
    </w:p>
    <w:p>
      <w:pPr>
        <w:pStyle w:val="40"/>
        <w:widowControl/>
        <w:autoSpaceDN w:val="0"/>
        <w:jc w:val="both"/>
        <w:rPr>
          <w:kern w:val="0"/>
        </w:rPr>
      </w:pPr>
      <w:r>
        <w:rPr>
          <w:rFonts w:hint="eastAsia"/>
          <w:kern w:val="0"/>
        </w:rPr>
        <w:t>（一）入境动植物、动植物产品和其他检疫物；</w:t>
      </w:r>
    </w:p>
    <w:p>
      <w:pPr>
        <w:pStyle w:val="40"/>
        <w:widowControl/>
        <w:autoSpaceDN w:val="0"/>
        <w:jc w:val="both"/>
        <w:rPr>
          <w:kern w:val="0"/>
        </w:rPr>
      </w:pPr>
      <w:r>
        <w:rPr>
          <w:rFonts w:hint="eastAsia"/>
          <w:kern w:val="0"/>
        </w:rPr>
        <w:t>（二）出入境生物物种资源、濒危野生动植物及其产品；</w:t>
      </w:r>
    </w:p>
    <w:p>
      <w:pPr>
        <w:pStyle w:val="40"/>
        <w:widowControl/>
        <w:autoSpaceDN w:val="0"/>
        <w:jc w:val="both"/>
        <w:rPr>
          <w:kern w:val="0"/>
        </w:rPr>
      </w:pPr>
      <w:r>
        <w:rPr>
          <w:rFonts w:hint="eastAsia"/>
          <w:kern w:val="0"/>
        </w:rPr>
        <w:t>（三）出境的国家重点保护的野生动植物及其产品；</w:t>
      </w:r>
    </w:p>
    <w:p>
      <w:pPr>
        <w:pStyle w:val="40"/>
        <w:widowControl/>
        <w:autoSpaceDN w:val="0"/>
        <w:jc w:val="both"/>
        <w:rPr>
          <w:kern w:val="0"/>
        </w:rPr>
      </w:pPr>
      <w:r>
        <w:rPr>
          <w:rFonts w:hint="eastAsia"/>
          <w:kern w:val="0"/>
        </w:rPr>
        <w:t>（四）出入境的微生物、人体组织、生物制品、血液及血液制品等特殊物品（以下简称“特殊物品”）；</w:t>
      </w:r>
    </w:p>
    <w:p>
      <w:pPr>
        <w:pStyle w:val="40"/>
        <w:widowControl/>
        <w:autoSpaceDN w:val="0"/>
        <w:jc w:val="both"/>
        <w:rPr>
          <w:kern w:val="0"/>
        </w:rPr>
      </w:pPr>
      <w:r>
        <w:rPr>
          <w:rFonts w:hint="eastAsia"/>
          <w:kern w:val="0"/>
        </w:rPr>
        <w:t>（五）出入境的尸体、骸骨等；</w:t>
      </w:r>
    </w:p>
    <w:p>
      <w:pPr>
        <w:pStyle w:val="40"/>
        <w:widowControl/>
        <w:autoSpaceDN w:val="0"/>
        <w:jc w:val="both"/>
        <w:rPr>
          <w:kern w:val="0"/>
        </w:rPr>
      </w:pPr>
      <w:r>
        <w:rPr>
          <w:rFonts w:hint="eastAsia"/>
          <w:kern w:val="0"/>
        </w:rPr>
        <w:t>（六）来自疫区、被传染病污染或者可能传播传染病的出入境的行李和物品；</w:t>
      </w:r>
    </w:p>
    <w:p>
      <w:pPr>
        <w:pStyle w:val="40"/>
        <w:widowControl/>
        <w:autoSpaceDN w:val="0"/>
        <w:jc w:val="both"/>
        <w:rPr>
          <w:kern w:val="0"/>
        </w:rPr>
      </w:pPr>
      <w:r>
        <w:rPr>
          <w:rFonts w:hint="eastAsia"/>
          <w:kern w:val="0"/>
        </w:rPr>
        <w:t>（七）其他应当向海关申报并接受检疫的携带物。</w:t>
      </w:r>
    </w:p>
    <w:p>
      <w:pPr>
        <w:pStyle w:val="40"/>
        <w:widowControl/>
        <w:autoSpaceDN w:val="0"/>
        <w:jc w:val="both"/>
        <w:rPr>
          <w:kern w:val="0"/>
        </w:rPr>
      </w:pPr>
      <w:r>
        <w:rPr>
          <w:rFonts w:eastAsia="方正黑体_GBK" w:hint="eastAsia"/>
          <w:kern w:val="0"/>
        </w:rPr>
        <w:t>第五条</w:t>
      </w:r>
      <w:r>
        <w:rPr>
          <w:rFonts w:hint="eastAsia"/>
          <w:kern w:val="0"/>
        </w:rPr>
        <w:t>出入境人员禁止携带下列物品进境：</w:t>
      </w:r>
    </w:p>
    <w:p>
      <w:pPr>
        <w:pStyle w:val="40"/>
        <w:widowControl/>
        <w:autoSpaceDN w:val="0"/>
        <w:jc w:val="both"/>
        <w:rPr>
          <w:kern w:val="0"/>
        </w:rPr>
      </w:pPr>
      <w:r>
        <w:rPr>
          <w:rFonts w:hint="eastAsia"/>
          <w:kern w:val="0"/>
        </w:rPr>
        <w:t>（一）动植物病原体（包括菌种、毒种等）、害虫及其他有害生物；</w:t>
      </w:r>
    </w:p>
    <w:p>
      <w:pPr>
        <w:pStyle w:val="40"/>
        <w:widowControl/>
        <w:autoSpaceDN w:val="0"/>
        <w:jc w:val="both"/>
        <w:rPr>
          <w:kern w:val="0"/>
        </w:rPr>
      </w:pPr>
      <w:r>
        <w:rPr>
          <w:rFonts w:hint="eastAsia"/>
          <w:kern w:val="0"/>
        </w:rPr>
        <w:t>（二）动植物疫情流行的国家或者地区的有关动植物、动植物产品和其他检疫物；</w:t>
      </w:r>
    </w:p>
    <w:p>
      <w:pPr>
        <w:pStyle w:val="40"/>
        <w:widowControl/>
        <w:autoSpaceDN w:val="0"/>
        <w:jc w:val="both"/>
        <w:rPr>
          <w:kern w:val="0"/>
        </w:rPr>
      </w:pPr>
      <w:r>
        <w:rPr>
          <w:rFonts w:hint="eastAsia"/>
          <w:kern w:val="0"/>
        </w:rPr>
        <w:t>（三）动物尸体；</w:t>
      </w:r>
    </w:p>
    <w:p>
      <w:pPr>
        <w:pStyle w:val="40"/>
        <w:widowControl/>
        <w:autoSpaceDN w:val="0"/>
        <w:jc w:val="both"/>
        <w:rPr>
          <w:kern w:val="0"/>
        </w:rPr>
      </w:pPr>
      <w:r>
        <w:rPr>
          <w:rFonts w:hint="eastAsia"/>
          <w:kern w:val="0"/>
        </w:rPr>
        <w:t>（四）土壤；</w:t>
      </w:r>
    </w:p>
    <w:p>
      <w:pPr>
        <w:pStyle w:val="40"/>
        <w:widowControl/>
        <w:autoSpaceDN w:val="0"/>
        <w:jc w:val="both"/>
        <w:rPr>
          <w:kern w:val="0"/>
        </w:rPr>
      </w:pPr>
      <w:r>
        <w:rPr>
          <w:rFonts w:hint="eastAsia"/>
          <w:kern w:val="0"/>
        </w:rPr>
        <w:t>（五）《中华人民共和国禁止携带、邮寄进境的动植物及其产品名录》所列各物；</w:t>
      </w:r>
    </w:p>
    <w:p>
      <w:pPr>
        <w:pStyle w:val="40"/>
        <w:widowControl/>
        <w:autoSpaceDN w:val="0"/>
        <w:jc w:val="both"/>
        <w:rPr>
          <w:kern w:val="0"/>
        </w:rPr>
      </w:pPr>
      <w:r>
        <w:rPr>
          <w:rFonts w:hint="eastAsia"/>
          <w:kern w:val="0"/>
        </w:rPr>
        <w:t>（六）国家规定禁止进境的废旧物品、放射性物质以及其他禁止进境物。</w:t>
      </w:r>
    </w:p>
    <w:p>
      <w:pPr>
        <w:pStyle w:val="40"/>
        <w:widowControl/>
        <w:autoSpaceDN w:val="0"/>
        <w:jc w:val="both"/>
        <w:rPr>
          <w:kern w:val="0"/>
        </w:rPr>
      </w:pPr>
      <w:r>
        <w:rPr>
          <w:rFonts w:eastAsia="方正黑体_GBK" w:hint="eastAsia"/>
          <w:kern w:val="0"/>
        </w:rPr>
        <w:t>第六条</w:t>
      </w:r>
      <w:r>
        <w:rPr>
          <w:rFonts w:hint="eastAsia"/>
          <w:kern w:val="0"/>
        </w:rPr>
        <w:t>经海关检疫，发现携带物存在重大检疫风险的，海关应当启动风险预警及快速反应机制。</w:t>
      </w:r>
    </w:p>
    <w:p>
      <w:pPr>
        <w:pStyle w:val="40"/>
        <w:widowControl/>
        <w:autoSpaceDN w:val="0"/>
        <w:ind w:firstLineChars="0" w:firstLine="0"/>
        <w:jc w:val="center"/>
        <w:rPr>
          <w:kern w:val="0"/>
        </w:rPr>
      </w:pPr>
    </w:p>
    <w:p>
      <w:pPr>
        <w:pStyle w:val="40"/>
        <w:widowControl/>
        <w:autoSpaceDN w:val="0"/>
        <w:ind w:firstLineChars="0" w:firstLine="0"/>
        <w:jc w:val="center"/>
        <w:rPr>
          <w:rFonts w:eastAsia="方正黑体_GBK"/>
          <w:kern w:val="0"/>
        </w:rPr>
      </w:pPr>
      <w:r>
        <w:rPr>
          <w:rFonts w:eastAsia="方正黑体_GBK" w:hint="eastAsia"/>
          <w:kern w:val="0"/>
        </w:rPr>
        <w:t>第二章 检疫审批</w:t>
      </w:r>
    </w:p>
    <w:p>
      <w:pPr>
        <w:pStyle w:val="40"/>
        <w:widowControl/>
        <w:autoSpaceDN w:val="0"/>
        <w:ind w:firstLineChars="0" w:firstLine="0"/>
        <w:jc w:val="center"/>
        <w:rPr>
          <w:rFonts w:eastAsia="方正黑体_GBK"/>
          <w:kern w:val="0"/>
        </w:rPr>
      </w:pPr>
    </w:p>
    <w:p>
      <w:pPr>
        <w:pStyle w:val="40"/>
        <w:widowControl/>
        <w:autoSpaceDN w:val="0"/>
        <w:jc w:val="both"/>
        <w:rPr>
          <w:kern w:val="0"/>
        </w:rPr>
      </w:pPr>
      <w:r>
        <w:rPr>
          <w:rFonts w:eastAsia="方正黑体_GBK" w:hint="eastAsia"/>
          <w:kern w:val="0"/>
        </w:rPr>
        <w:t>第七条</w:t>
      </w:r>
      <w:r>
        <w:rPr>
          <w:rFonts w:hint="eastAsia"/>
          <w:kern w:val="0"/>
        </w:rPr>
        <w:t>携带动植物、动植物产品入境需要办理检疫审批手续的，应当事先向海关总署申请办理动植物检疫审批手续。</w:t>
      </w:r>
    </w:p>
    <w:p>
      <w:pPr>
        <w:pStyle w:val="40"/>
        <w:widowControl/>
        <w:autoSpaceDN w:val="0"/>
        <w:jc w:val="both"/>
        <w:rPr>
          <w:kern w:val="0"/>
        </w:rPr>
      </w:pPr>
      <w:r>
        <w:rPr>
          <w:rFonts w:eastAsia="方正黑体_GBK" w:hint="eastAsia"/>
          <w:kern w:val="0"/>
        </w:rPr>
        <w:t>第八条</w:t>
      </w:r>
      <w:r>
        <w:rPr>
          <w:rFonts w:hint="eastAsia"/>
          <w:kern w:val="0"/>
        </w:rPr>
        <w:t>携带植物种子、种苗及其他繁殖材料入境，因特殊情况无法事先办理检疫审批的，应当按照有关规定申请补办。</w:t>
      </w:r>
    </w:p>
    <w:p>
      <w:pPr>
        <w:pStyle w:val="40"/>
        <w:widowControl/>
        <w:autoSpaceDN w:val="0"/>
        <w:jc w:val="both"/>
        <w:rPr>
          <w:kern w:val="0"/>
        </w:rPr>
      </w:pPr>
      <w:r>
        <w:rPr>
          <w:rFonts w:eastAsia="方正黑体_GBK" w:hint="eastAsia"/>
          <w:kern w:val="0"/>
        </w:rPr>
        <w:t>第九条</w:t>
      </w:r>
      <w:r>
        <w:rPr>
          <w:rFonts w:hint="eastAsia"/>
          <w:kern w:val="0"/>
        </w:rPr>
        <w:t>因科学研究等特殊需要，携带本办法第五条第一项至第四项规定的物品入境的，应当事先向海关总署申请办理动植物检疫特许审批手续。</w:t>
      </w:r>
    </w:p>
    <w:p>
      <w:pPr>
        <w:pStyle w:val="40"/>
        <w:widowControl/>
        <w:autoSpaceDN w:val="0"/>
        <w:jc w:val="both"/>
        <w:rPr>
          <w:kern w:val="0"/>
        </w:rPr>
      </w:pPr>
      <w:r>
        <w:rPr>
          <w:rFonts w:eastAsia="方正黑体_GBK" w:hint="eastAsia"/>
          <w:kern w:val="0"/>
        </w:rPr>
        <w:t>第十条</w:t>
      </w:r>
      <w:r>
        <w:rPr>
          <w:rFonts w:hint="eastAsia"/>
          <w:kern w:val="0"/>
        </w:rPr>
        <w:t>《中华人民共和国禁止携带、邮寄进境的动植物及其产品名录》所列各物，经国家有关行政主管部门审批许可，并具有输出国家或者地区官方机构出具的检疫证书的，可以携带入境。</w:t>
      </w:r>
    </w:p>
    <w:p>
      <w:pPr>
        <w:pStyle w:val="54"/>
        <w:autoSpaceDN w:val="0"/>
        <w:spacing w:before="0" w:beforeAutospacing="0" w:after="0" w:afterAutospacing="0"/>
        <w:ind w:firstLineChars="200" w:firstLine="640"/>
      </w:pPr>
      <w:r>
        <w:rPr>
          <w:rFonts w:ascii="Times New Roman" w:eastAsia="方正黑体_GBK" w:cs="Times New Roman" w:hAnsi="Times New Roman" w:hint="eastAsia"/>
          <w:sz w:val="32"/>
          <w:szCs w:val="32"/>
        </w:rPr>
        <w:t>第十一条</w:t>
      </w:r>
      <w:r>
        <w:rPr>
          <w:rStyle w:val="55"/>
          <w:rFonts w:ascii="Times New Roman" w:eastAsia="方正仿宋_GBK" w:hAnsi="Times New Roman" w:hint="eastAsia"/>
          <w:kern w:val="2"/>
          <w:sz w:val="32"/>
          <w:szCs w:val="32"/>
        </w:rPr>
        <w:t>携带特殊物品出入境，应当事先向海关办理卫生检疫审批手续。</w:t>
      </w:r>
    </w:p>
    <w:p>
      <w:pPr>
        <w:pStyle w:val="40"/>
        <w:widowControl/>
        <w:autoSpaceDN w:val="0"/>
        <w:jc w:val="both"/>
        <w:rPr>
          <w:kern w:val="0"/>
        </w:rPr>
      </w:pPr>
    </w:p>
    <w:p>
      <w:pPr>
        <w:pStyle w:val="40"/>
        <w:widowControl/>
        <w:autoSpaceDN w:val="0"/>
        <w:ind w:firstLineChars="0" w:firstLine="0"/>
        <w:jc w:val="center"/>
        <w:rPr>
          <w:rFonts w:eastAsia="方正黑体_GBK"/>
          <w:kern w:val="0"/>
        </w:rPr>
      </w:pPr>
    </w:p>
    <w:p>
      <w:pPr>
        <w:pStyle w:val="40"/>
        <w:widowControl/>
        <w:autoSpaceDN w:val="0"/>
        <w:ind w:firstLineChars="0" w:firstLine="0"/>
        <w:jc w:val="center"/>
        <w:rPr>
          <w:rFonts w:eastAsia="方正黑体_GBK"/>
          <w:kern w:val="0"/>
        </w:rPr>
      </w:pPr>
      <w:r>
        <w:rPr>
          <w:rFonts w:eastAsia="方正黑体_GBK" w:hint="eastAsia"/>
          <w:kern w:val="0"/>
        </w:rPr>
        <w:t>第三章 申报与现场检疫</w:t>
      </w:r>
    </w:p>
    <w:p>
      <w:pPr>
        <w:pStyle w:val="40"/>
        <w:widowControl/>
        <w:autoSpaceDN w:val="0"/>
        <w:ind w:firstLineChars="0" w:firstLine="0"/>
        <w:jc w:val="center"/>
        <w:rPr>
          <w:rFonts w:eastAsia="方正黑体_GBK"/>
          <w:kern w:val="0"/>
        </w:rPr>
      </w:pPr>
    </w:p>
    <w:p>
      <w:pPr>
        <w:pStyle w:val="40"/>
        <w:widowControl/>
        <w:autoSpaceDN w:val="0"/>
        <w:jc w:val="both"/>
        <w:rPr>
          <w:kern w:val="0"/>
        </w:rPr>
      </w:pPr>
      <w:r>
        <w:rPr>
          <w:rFonts w:eastAsia="方正黑体_GBK" w:hint="eastAsia"/>
          <w:kern w:val="0"/>
        </w:rPr>
        <w:t>第十二条</w:t>
      </w:r>
      <w:r>
        <w:rPr>
          <w:rFonts w:hint="eastAsia"/>
          <w:kern w:val="0"/>
        </w:rPr>
        <w:t>携带本办法第四条所列各物入境的，入境人员应当按照有关规定申报，接受海关检疫。</w:t>
      </w:r>
    </w:p>
    <w:p>
      <w:pPr>
        <w:pStyle w:val="40"/>
        <w:widowControl/>
        <w:autoSpaceDN w:val="0"/>
        <w:jc w:val="both"/>
        <w:rPr>
          <w:kern w:val="0"/>
        </w:rPr>
      </w:pPr>
      <w:r>
        <w:rPr>
          <w:rFonts w:eastAsia="方正黑体_GBK" w:hint="eastAsia"/>
          <w:kern w:val="0"/>
        </w:rPr>
        <w:t>第十三条</w:t>
      </w:r>
      <w:r>
        <w:rPr>
          <w:rFonts w:hint="eastAsia"/>
          <w:kern w:val="0"/>
        </w:rPr>
        <w:t>海关可以在交通工具、人员出入境通道、行李提取或者托运处等现场，对出入境人员携带物进行现场检查，现场检查可以使用</w:t>
      </w:r>
      <w:r>
        <w:rPr>
          <w:kern w:val="0"/>
        </w:rPr>
        <w:t>X</w:t>
      </w:r>
      <w:r>
        <w:rPr>
          <w:rFonts w:hint="eastAsia"/>
          <w:kern w:val="0"/>
        </w:rPr>
        <w:t>光机、检疫犬以及其他方式进行。</w:t>
      </w:r>
    </w:p>
    <w:p>
      <w:pPr>
        <w:pStyle w:val="40"/>
        <w:widowControl/>
        <w:autoSpaceDN w:val="0"/>
        <w:jc w:val="both"/>
        <w:rPr>
          <w:kern w:val="0"/>
        </w:rPr>
      </w:pPr>
      <w:r>
        <w:rPr>
          <w:rFonts w:hint="eastAsia"/>
          <w:kern w:val="0"/>
        </w:rPr>
        <w:t>对出入境人员可能携带本办法规定应当申报的携带物而未申报的，海关可以进行查询并抽检其物品，必要时可以开箱（包）检查。</w:t>
      </w:r>
    </w:p>
    <w:p>
      <w:pPr>
        <w:pStyle w:val="40"/>
        <w:widowControl/>
        <w:autoSpaceDN w:val="0"/>
        <w:jc w:val="both"/>
        <w:rPr>
          <w:kern w:val="0"/>
        </w:rPr>
      </w:pPr>
      <w:r>
        <w:rPr>
          <w:rFonts w:eastAsia="方正黑体_GBK" w:hint="eastAsia"/>
          <w:kern w:val="0"/>
        </w:rPr>
        <w:t>第十四条</w:t>
      </w:r>
      <w:r>
        <w:rPr>
          <w:rFonts w:hint="eastAsia"/>
          <w:kern w:val="0"/>
        </w:rPr>
        <w:t>出入境人员应当接受检查，并配合检验检疫人员工作。</w:t>
      </w:r>
    </w:p>
    <w:p>
      <w:pPr>
        <w:pStyle w:val="40"/>
        <w:widowControl/>
        <w:autoSpaceDN w:val="0"/>
        <w:jc w:val="both"/>
        <w:rPr>
          <w:kern w:val="0"/>
        </w:rPr>
      </w:pPr>
      <w:r>
        <w:rPr>
          <w:rFonts w:hint="eastAsia"/>
          <w:kern w:val="0"/>
        </w:rPr>
        <w:t>享有外交、领事特权与豁免权的外国机构和人员公用或者自用的动植物、动植物产品和其他检疫物入境，应当接受海关检疫；海关查验，须有外交代表或者其授权人员在场。</w:t>
      </w:r>
    </w:p>
    <w:p>
      <w:pPr>
        <w:pStyle w:val="40"/>
        <w:widowControl/>
        <w:autoSpaceDN w:val="0"/>
        <w:jc w:val="both"/>
        <w:rPr>
          <w:kern w:val="0"/>
        </w:rPr>
      </w:pPr>
      <w:r>
        <w:rPr>
          <w:rFonts w:eastAsia="方正黑体_GBK" w:hint="eastAsia"/>
          <w:kern w:val="0"/>
        </w:rPr>
        <w:t>第十五条</w:t>
      </w:r>
      <w:r>
        <w:rPr>
          <w:rFonts w:hint="eastAsia"/>
          <w:kern w:val="0"/>
        </w:rPr>
        <w:t>对申报以及现场检查发现的本办法第四条所列各物，海关应当进行现场检疫。</w:t>
      </w:r>
    </w:p>
    <w:p>
      <w:pPr>
        <w:pStyle w:val="40"/>
        <w:widowControl/>
        <w:autoSpaceDN w:val="0"/>
        <w:jc w:val="both"/>
        <w:rPr>
          <w:kern w:val="0"/>
        </w:rPr>
      </w:pPr>
      <w:r>
        <w:rPr>
          <w:rFonts w:eastAsia="方正黑体_GBK" w:hint="eastAsia"/>
          <w:kern w:val="0"/>
        </w:rPr>
        <w:t>第十六条</w:t>
      </w:r>
      <w:r>
        <w:rPr>
          <w:rFonts w:hint="eastAsia"/>
          <w:kern w:val="0"/>
        </w:rPr>
        <w:t>携带植物种子、种苗及其他繁殖材料入境的，携带人应当向主管海关提供《引进种子、苗木检疫审批单》或者《引进林木种子、苗木和其它繁殖材料检疫审批单》。</w:t>
      </w:r>
    </w:p>
    <w:p>
      <w:pPr>
        <w:pStyle w:val="40"/>
        <w:widowControl/>
        <w:autoSpaceDN w:val="0"/>
        <w:jc w:val="both"/>
        <w:rPr>
          <w:kern w:val="0"/>
        </w:rPr>
      </w:pPr>
      <w:r>
        <w:rPr>
          <w:rFonts w:hint="eastAsia"/>
          <w:kern w:val="0"/>
        </w:rPr>
        <w:t>携带除本条第一款之外的其他应当办理检疫审批的动植物、动植物产品和其他检疫物以及应当办理动植物检疫特许审批的禁止进境物入境的，携带人应当取得海关总署签发的《中华人民共和国进境动植物检疫许可证》（以下简称“检疫许可证”）和其他相关单证。</w:t>
      </w:r>
    </w:p>
    <w:p>
      <w:pPr>
        <w:pStyle w:val="40"/>
        <w:widowControl/>
        <w:autoSpaceDN w:val="0"/>
        <w:jc w:val="both"/>
        <w:rPr>
          <w:kern w:val="0"/>
        </w:rPr>
      </w:pPr>
      <w:r>
        <w:rPr>
          <w:rFonts w:hint="eastAsia"/>
          <w:kern w:val="0"/>
        </w:rPr>
        <w:t>主管海关按照《引进种子、苗木检疫审批单》《引进林木种子、苗木和其他繁殖材料检疫审批单》、检疫许可证和其他相关单证的要求以及有关规定对本条第一、二款规定的动植物和动植物产品及其他检疫物实施现场检疫。</w:t>
      </w:r>
    </w:p>
    <w:p>
      <w:pPr>
        <w:pStyle w:val="40"/>
        <w:widowControl/>
        <w:autoSpaceDN w:val="0"/>
        <w:jc w:val="both"/>
        <w:rPr>
          <w:kern w:val="0"/>
        </w:rPr>
      </w:pPr>
      <w:r>
        <w:rPr>
          <w:rFonts w:eastAsia="方正黑体_GBK" w:hint="eastAsia"/>
          <w:kern w:val="0"/>
        </w:rPr>
        <w:t>第十七条</w:t>
      </w:r>
      <w:r>
        <w:rPr>
          <w:rFonts w:hint="eastAsia"/>
          <w:kern w:val="0"/>
        </w:rPr>
        <w:t>携带入境的活动物仅限犬或者猫（以下称“宠物”），并且每人每次限带</w:t>
      </w:r>
      <w:r>
        <w:rPr>
          <w:kern w:val="0"/>
        </w:rPr>
        <w:t>1</w:t>
      </w:r>
      <w:r>
        <w:rPr>
          <w:rFonts w:hint="eastAsia"/>
          <w:kern w:val="0"/>
        </w:rPr>
        <w:t>只。</w:t>
      </w:r>
    </w:p>
    <w:p>
      <w:pPr>
        <w:pStyle w:val="40"/>
        <w:widowControl/>
        <w:autoSpaceDN w:val="0"/>
        <w:jc w:val="both"/>
        <w:rPr>
          <w:kern w:val="0"/>
        </w:rPr>
      </w:pPr>
      <w:r>
        <w:rPr>
          <w:rFonts w:hint="eastAsia"/>
          <w:kern w:val="0"/>
        </w:rPr>
        <w:t>携带宠物入境的，携带人应当向海关提供输出国家或者地区官方动物检疫机构出具的有效检疫证书和疫苗接种证书。宠物应当具有芯片或者其他有效身份证明。</w:t>
      </w:r>
    </w:p>
    <w:p>
      <w:pPr>
        <w:pStyle w:val="40"/>
        <w:widowControl/>
        <w:autoSpaceDN w:val="0"/>
        <w:jc w:val="both"/>
        <w:rPr>
          <w:kern w:val="0"/>
        </w:rPr>
      </w:pPr>
      <w:r>
        <w:rPr>
          <w:rFonts w:eastAsia="方正黑体_GBK" w:hint="eastAsia"/>
          <w:kern w:val="0"/>
        </w:rPr>
        <w:t>第十八条</w:t>
      </w:r>
      <w:r>
        <w:rPr>
          <w:rFonts w:hint="eastAsia"/>
          <w:kern w:val="0"/>
        </w:rPr>
        <w:t>携带农业转基因生物入境的，携带人应当向海关提供《农业转基因生物安全证书》和输出国家或者地区官方机构出具的检疫证书。列入农业转基因生物标识目录的进境转基因生物，应当按照规定进行标识，携带人还应当提供国务院农业行政主管部门出具的农业转基因生物标识审查认可批准文件。</w:t>
      </w:r>
    </w:p>
    <w:p>
      <w:pPr>
        <w:pStyle w:val="40"/>
        <w:widowControl/>
        <w:autoSpaceDN w:val="0"/>
        <w:jc w:val="both"/>
        <w:rPr>
          <w:kern w:val="0"/>
        </w:rPr>
      </w:pPr>
      <w:r>
        <w:rPr>
          <w:rFonts w:eastAsia="方正黑体_GBK" w:hint="eastAsia"/>
          <w:kern w:val="0"/>
        </w:rPr>
        <w:t>第十九条</w:t>
      </w:r>
      <w:r>
        <w:rPr>
          <w:rFonts w:hint="eastAsia"/>
          <w:kern w:val="0"/>
        </w:rPr>
        <w:t>携带特殊物品出入境的，携带人应当接受卫生检疫。</w:t>
      </w:r>
    </w:p>
    <w:p>
      <w:pPr>
        <w:pStyle w:val="40"/>
        <w:widowControl/>
        <w:autoSpaceDN w:val="0"/>
        <w:jc w:val="both"/>
        <w:rPr>
          <w:kern w:val="0"/>
        </w:rPr>
      </w:pPr>
      <w:r>
        <w:rPr>
          <w:rFonts w:hint="eastAsia"/>
          <w:kern w:val="0"/>
        </w:rPr>
        <w:t>携带自用且仅限于预防或者治疗疾病用的血液制品或者生物制品出入境的，不需办理卫生检疫审批手续，但需出示医院的有关证明；允许携带量以处方或者说明书确定的一个疗程为限。</w:t>
      </w:r>
    </w:p>
    <w:p>
      <w:pPr>
        <w:pStyle w:val="40"/>
        <w:widowControl/>
        <w:autoSpaceDN w:val="0"/>
        <w:jc w:val="both"/>
        <w:rPr>
          <w:kern w:val="0"/>
        </w:rPr>
      </w:pPr>
      <w:r>
        <w:rPr>
          <w:rFonts w:eastAsia="方正黑体_GBK" w:hint="eastAsia"/>
          <w:kern w:val="0"/>
        </w:rPr>
        <w:t>第二十条</w:t>
      </w:r>
      <w:r>
        <w:rPr>
          <w:rFonts w:hint="eastAsia"/>
          <w:kern w:val="0"/>
        </w:rPr>
        <w:t>携带尸体、骸骨等出入境的，携带人应当按照有关规定向海关提供死者的死亡证明以及其他相关单证。</w:t>
      </w:r>
    </w:p>
    <w:p>
      <w:pPr>
        <w:pStyle w:val="40"/>
        <w:widowControl/>
        <w:autoSpaceDN w:val="0"/>
        <w:jc w:val="both"/>
        <w:rPr>
          <w:kern w:val="0"/>
        </w:rPr>
      </w:pPr>
      <w:r>
        <w:rPr>
          <w:rFonts w:hint="eastAsia"/>
          <w:kern w:val="0"/>
        </w:rPr>
        <w:t>海关依法对出入境尸体、骸骨等实施卫生检疫。</w:t>
      </w:r>
    </w:p>
    <w:p>
      <w:pPr>
        <w:pStyle w:val="40"/>
        <w:widowControl/>
        <w:autoSpaceDN w:val="0"/>
        <w:jc w:val="both"/>
        <w:rPr>
          <w:kern w:val="0"/>
        </w:rPr>
      </w:pPr>
      <w:r>
        <w:rPr>
          <w:rFonts w:eastAsia="方正黑体_GBK" w:hint="eastAsia"/>
          <w:kern w:val="0"/>
        </w:rPr>
        <w:t>第二十一条</w:t>
      </w:r>
      <w:r>
        <w:rPr>
          <w:rFonts w:hint="eastAsia"/>
          <w:kern w:val="0"/>
        </w:rPr>
        <w:t>携带濒危野生动植物及其产品进出境或者携带国家重点保护的野生动植物及其产品出境的，应当在《中华人民共和国濒危野生动植物进出口管理条例》规定的指定口岸进出境，携带人应当向海关提供进出口证明书。</w:t>
      </w:r>
    </w:p>
    <w:p>
      <w:pPr>
        <w:pStyle w:val="40"/>
        <w:widowControl/>
        <w:autoSpaceDN w:val="0"/>
        <w:jc w:val="both"/>
        <w:rPr>
          <w:kern w:val="0"/>
        </w:rPr>
      </w:pPr>
      <w:r>
        <w:rPr>
          <w:rFonts w:eastAsia="方正黑体_GBK" w:hint="eastAsia"/>
          <w:kern w:val="0"/>
        </w:rPr>
        <w:t>第二十二条</w:t>
      </w:r>
      <w:r>
        <w:rPr>
          <w:rFonts w:hint="eastAsia"/>
          <w:kern w:val="0"/>
        </w:rPr>
        <w:t>海关对携带人提供的检疫许可证以及其他相关单证进行核查，核查合格的，应当在现场实施检疫。现场检疫合格且无需作进一步实验室检疫、隔离检疫或者其他检疫处理的，可以当场放行。</w:t>
      </w:r>
    </w:p>
    <w:p>
      <w:pPr>
        <w:pStyle w:val="40"/>
        <w:widowControl/>
        <w:autoSpaceDN w:val="0"/>
        <w:jc w:val="both"/>
        <w:rPr>
          <w:kern w:val="0"/>
        </w:rPr>
      </w:pPr>
      <w:r>
        <w:rPr>
          <w:rFonts w:hint="eastAsia"/>
          <w:kern w:val="0"/>
        </w:rPr>
        <w:t>携带物与提交的检疫许可证或者其他相关单证不符的，作限期退回或者销毁处理。</w:t>
      </w:r>
    </w:p>
    <w:p>
      <w:pPr>
        <w:pStyle w:val="40"/>
        <w:widowControl/>
        <w:autoSpaceDN w:val="0"/>
        <w:jc w:val="both"/>
        <w:rPr>
          <w:kern w:val="0"/>
        </w:rPr>
      </w:pPr>
      <w:r>
        <w:rPr>
          <w:rFonts w:eastAsia="方正黑体_GBK" w:hint="eastAsia"/>
          <w:kern w:val="0"/>
        </w:rPr>
        <w:t>第二十三条</w:t>
      </w:r>
      <w:r>
        <w:rPr>
          <w:rFonts w:hint="eastAsia"/>
          <w:kern w:val="0"/>
        </w:rPr>
        <w:t>携带物有下列情形之一的，海关依法予以截留：</w:t>
      </w:r>
    </w:p>
    <w:p>
      <w:pPr>
        <w:pStyle w:val="40"/>
        <w:widowControl/>
        <w:autoSpaceDN w:val="0"/>
        <w:jc w:val="both"/>
        <w:rPr>
          <w:kern w:val="0"/>
        </w:rPr>
      </w:pPr>
      <w:r>
        <w:rPr>
          <w:rFonts w:hint="eastAsia"/>
          <w:kern w:val="0"/>
        </w:rPr>
        <w:t>（一）需要做实验室检疫、隔离检疫的；</w:t>
      </w:r>
    </w:p>
    <w:p>
      <w:pPr>
        <w:pStyle w:val="40"/>
        <w:widowControl/>
        <w:autoSpaceDN w:val="0"/>
        <w:jc w:val="both"/>
        <w:rPr>
          <w:kern w:val="0"/>
        </w:rPr>
      </w:pPr>
      <w:r>
        <w:rPr>
          <w:rFonts w:hint="eastAsia"/>
          <w:kern w:val="0"/>
        </w:rPr>
        <w:t>（二）需要作检疫处理的；</w:t>
      </w:r>
    </w:p>
    <w:p>
      <w:pPr>
        <w:pStyle w:val="40"/>
        <w:widowControl/>
        <w:autoSpaceDN w:val="0"/>
        <w:jc w:val="both"/>
        <w:rPr>
          <w:kern w:val="0"/>
        </w:rPr>
      </w:pPr>
      <w:r>
        <w:rPr>
          <w:rFonts w:hint="eastAsia"/>
          <w:kern w:val="0"/>
        </w:rPr>
        <w:t>（三）需要作限期退回或者销毁处理的；</w:t>
      </w:r>
    </w:p>
    <w:p>
      <w:pPr>
        <w:pStyle w:val="40"/>
        <w:widowControl/>
        <w:autoSpaceDN w:val="0"/>
        <w:jc w:val="both"/>
        <w:rPr>
          <w:kern w:val="0"/>
        </w:rPr>
      </w:pPr>
      <w:r>
        <w:rPr>
          <w:rFonts w:hint="eastAsia"/>
          <w:kern w:val="0"/>
        </w:rPr>
        <w:t>（四）应当取得检疫许可证以及其他相关单证，未取得的；</w:t>
      </w:r>
    </w:p>
    <w:p>
      <w:pPr>
        <w:pStyle w:val="40"/>
        <w:widowControl/>
        <w:autoSpaceDN w:val="0"/>
        <w:jc w:val="both"/>
        <w:rPr>
          <w:kern w:val="0"/>
        </w:rPr>
      </w:pPr>
      <w:r>
        <w:rPr>
          <w:rFonts w:hint="eastAsia"/>
          <w:kern w:val="0"/>
        </w:rPr>
        <w:t>（五）需要移交其他相关部门的。</w:t>
      </w:r>
    </w:p>
    <w:p>
      <w:pPr>
        <w:pStyle w:val="40"/>
        <w:widowControl/>
        <w:autoSpaceDN w:val="0"/>
        <w:jc w:val="both"/>
        <w:rPr>
          <w:kern w:val="0"/>
        </w:rPr>
      </w:pPr>
      <w:r>
        <w:rPr>
          <w:rFonts w:hint="eastAsia"/>
          <w:kern w:val="0"/>
        </w:rPr>
        <w:t>海关应当对依法截留的携带物出具截留凭证，截留期限不超过</w:t>
      </w:r>
      <w:r>
        <w:rPr>
          <w:kern w:val="0"/>
        </w:rPr>
        <w:t>7</w:t>
      </w:r>
      <w:r>
        <w:rPr>
          <w:rFonts w:hint="eastAsia"/>
          <w:kern w:val="0"/>
        </w:rPr>
        <w:t>天。</w:t>
      </w:r>
    </w:p>
    <w:p>
      <w:pPr>
        <w:pStyle w:val="40"/>
        <w:widowControl/>
        <w:autoSpaceDN w:val="0"/>
        <w:jc w:val="both"/>
        <w:rPr>
          <w:kern w:val="0"/>
        </w:rPr>
      </w:pPr>
      <w:r>
        <w:rPr>
          <w:rFonts w:eastAsia="方正黑体_GBK" w:hint="eastAsia"/>
          <w:kern w:val="0"/>
        </w:rPr>
        <w:t>第二十四条</w:t>
      </w:r>
      <w:r>
        <w:rPr>
          <w:rFonts w:hint="eastAsia"/>
          <w:kern w:val="0"/>
        </w:rPr>
        <w:t>携带动植物、动植物产品和其他检疫物出境，依法需要申报的，携带人应当按照规定申报并提供有关证明。</w:t>
      </w:r>
    </w:p>
    <w:p>
      <w:pPr>
        <w:pStyle w:val="40"/>
        <w:widowControl/>
        <w:autoSpaceDN w:val="0"/>
        <w:jc w:val="both"/>
        <w:rPr>
          <w:kern w:val="0"/>
        </w:rPr>
      </w:pPr>
      <w:r>
        <w:rPr>
          <w:rFonts w:hint="eastAsia"/>
          <w:kern w:val="0"/>
        </w:rPr>
        <w:t>输入国家或者地区、携带人对出境动植物、动植物产品和其他检疫物有检疫要求的，由携带人提出申请，海关依法实施检疫并出具有关单证。</w:t>
      </w:r>
    </w:p>
    <w:p>
      <w:pPr>
        <w:pStyle w:val="40"/>
        <w:widowControl/>
        <w:autoSpaceDN w:val="0"/>
        <w:jc w:val="both"/>
        <w:rPr>
          <w:kern w:val="0"/>
        </w:rPr>
      </w:pPr>
      <w:r>
        <w:rPr>
          <w:rFonts w:eastAsia="方正黑体_GBK" w:hint="eastAsia"/>
          <w:kern w:val="0"/>
        </w:rPr>
        <w:t>第二十五条</w:t>
      </w:r>
      <w:r>
        <w:rPr>
          <w:rFonts w:hint="eastAsia"/>
          <w:kern w:val="0"/>
        </w:rPr>
        <w:t>海关对入境中转人员携带物实行检疫监督管理。</w:t>
      </w:r>
    </w:p>
    <w:p>
      <w:pPr>
        <w:pStyle w:val="40"/>
        <w:widowControl/>
        <w:autoSpaceDN w:val="0"/>
        <w:jc w:val="both"/>
        <w:rPr>
          <w:kern w:val="0"/>
        </w:rPr>
      </w:pPr>
      <w:r>
        <w:rPr>
          <w:rFonts w:hint="eastAsia"/>
          <w:kern w:val="0"/>
        </w:rPr>
        <w:t>航空公司对运载的入境中转人员携带物应当单独打板或者分舱运载，并在入境中转人员携带物外包装上加施明显标志。海关必要时可以在国内段实施随航监督。</w:t>
      </w:r>
    </w:p>
    <w:p>
      <w:pPr>
        <w:pStyle w:val="40"/>
        <w:widowControl/>
        <w:autoSpaceDN w:val="0"/>
        <w:jc w:val="both"/>
        <w:rPr>
          <w:kern w:val="0"/>
        </w:rPr>
      </w:pPr>
    </w:p>
    <w:p>
      <w:pPr>
        <w:pStyle w:val="40"/>
        <w:widowControl/>
        <w:autoSpaceDN w:val="0"/>
        <w:ind w:firstLineChars="0" w:firstLine="0"/>
        <w:jc w:val="center"/>
        <w:rPr>
          <w:rFonts w:eastAsia="方正黑体_GBK"/>
          <w:kern w:val="0"/>
        </w:rPr>
      </w:pPr>
      <w:r>
        <w:rPr>
          <w:rFonts w:eastAsia="方正黑体_GBK" w:hint="eastAsia"/>
          <w:kern w:val="0"/>
        </w:rPr>
        <w:t>第四章 检疫处理</w:t>
      </w:r>
    </w:p>
    <w:p>
      <w:pPr>
        <w:pStyle w:val="40"/>
        <w:widowControl/>
        <w:autoSpaceDN w:val="0"/>
        <w:jc w:val="center"/>
        <w:rPr>
          <w:rFonts w:eastAsia="方正黑体_GBK"/>
          <w:kern w:val="0"/>
        </w:rPr>
      </w:pPr>
    </w:p>
    <w:p>
      <w:pPr>
        <w:pStyle w:val="40"/>
        <w:widowControl/>
        <w:autoSpaceDN w:val="0"/>
        <w:jc w:val="both"/>
        <w:rPr>
          <w:kern w:val="0"/>
        </w:rPr>
      </w:pPr>
      <w:r>
        <w:rPr>
          <w:rFonts w:eastAsia="方正黑体_GBK" w:hint="eastAsia"/>
          <w:kern w:val="0"/>
        </w:rPr>
        <w:t>第二十六条</w:t>
      </w:r>
      <w:r>
        <w:rPr>
          <w:rFonts w:hint="eastAsia"/>
          <w:kern w:val="0"/>
        </w:rPr>
        <w:t>截留的携带物应当在海关指定的场所封存或者隔离。</w:t>
      </w:r>
    </w:p>
    <w:p>
      <w:pPr>
        <w:pStyle w:val="40"/>
        <w:widowControl/>
        <w:autoSpaceDN w:val="0"/>
        <w:jc w:val="both"/>
        <w:rPr>
          <w:kern w:val="0"/>
        </w:rPr>
      </w:pPr>
      <w:r>
        <w:rPr>
          <w:rFonts w:eastAsia="方正黑体_GBK" w:hint="eastAsia"/>
          <w:kern w:val="0"/>
        </w:rPr>
        <w:t>第二十七条</w:t>
      </w:r>
      <w:r>
        <w:rPr>
          <w:rFonts w:hint="eastAsia"/>
          <w:kern w:val="0"/>
        </w:rPr>
        <w:t>携带物需要做实验室检疫、隔离检疫的，经海关截留检疫合格的，携带人应当持截留凭证在规定期限内领取，逾期不领取的，作自动放弃处理；截留检疫不合格又无有效处理方法的，作限期退回或者销毁处理。</w:t>
      </w:r>
    </w:p>
    <w:p>
      <w:pPr>
        <w:pStyle w:val="40"/>
        <w:widowControl/>
        <w:autoSpaceDN w:val="0"/>
        <w:jc w:val="both"/>
        <w:rPr>
          <w:kern w:val="0"/>
        </w:rPr>
      </w:pPr>
      <w:r>
        <w:rPr>
          <w:rFonts w:hint="eastAsia"/>
          <w:kern w:val="0"/>
        </w:rPr>
        <w:t>逾期不领取或者出入境人员书面声明自动放弃的携带物，由海关按照有关规定处理。</w:t>
      </w:r>
    </w:p>
    <w:p>
      <w:pPr>
        <w:pStyle w:val="40"/>
        <w:widowControl/>
        <w:autoSpaceDN w:val="0"/>
        <w:jc w:val="both"/>
        <w:rPr>
          <w:kern w:val="0"/>
        </w:rPr>
      </w:pPr>
      <w:r>
        <w:rPr>
          <w:rFonts w:eastAsia="方正黑体_GBK" w:hint="eastAsia"/>
          <w:kern w:val="0"/>
        </w:rPr>
        <w:t>第二十八条</w:t>
      </w:r>
      <w:r>
        <w:rPr>
          <w:rFonts w:hint="eastAsia"/>
          <w:kern w:val="0"/>
        </w:rPr>
        <w:t>入境宠物应当隔离检疫</w:t>
      </w:r>
      <w:r>
        <w:rPr>
          <w:kern w:val="0"/>
        </w:rPr>
        <w:t>30</w:t>
      </w:r>
      <w:r>
        <w:rPr>
          <w:rFonts w:hint="eastAsia"/>
          <w:kern w:val="0"/>
        </w:rPr>
        <w:t>天（截留期限计入在内）。</w:t>
      </w:r>
    </w:p>
    <w:p>
      <w:pPr>
        <w:pStyle w:val="40"/>
        <w:widowControl/>
        <w:autoSpaceDN w:val="0"/>
        <w:jc w:val="both"/>
        <w:rPr>
          <w:kern w:val="0"/>
        </w:rPr>
      </w:pPr>
      <w:r>
        <w:rPr>
          <w:rFonts w:hint="eastAsia"/>
          <w:kern w:val="0"/>
        </w:rPr>
        <w:t>来自狂犬病发生国家或者地区的宠物，应当在海关指定的隔离场隔离检疫</w:t>
      </w:r>
      <w:r>
        <w:rPr>
          <w:kern w:val="0"/>
        </w:rPr>
        <w:t>30</w:t>
      </w:r>
      <w:r>
        <w:rPr>
          <w:rFonts w:hint="eastAsia"/>
          <w:kern w:val="0"/>
        </w:rPr>
        <w:t>天。</w:t>
      </w:r>
    </w:p>
    <w:p>
      <w:pPr>
        <w:pStyle w:val="40"/>
        <w:widowControl/>
        <w:autoSpaceDN w:val="0"/>
        <w:jc w:val="both"/>
        <w:rPr>
          <w:kern w:val="0"/>
        </w:rPr>
      </w:pPr>
      <w:r>
        <w:rPr>
          <w:rFonts w:hint="eastAsia"/>
          <w:kern w:val="0"/>
        </w:rPr>
        <w:t>来自非狂犬病发生国家或者地区的宠物，应当在海关指定隔离场隔离</w:t>
      </w:r>
      <w:r>
        <w:rPr>
          <w:kern w:val="0"/>
        </w:rPr>
        <w:t>7</w:t>
      </w:r>
      <w:r>
        <w:rPr>
          <w:rFonts w:hint="eastAsia"/>
          <w:kern w:val="0"/>
        </w:rPr>
        <w:t>天，其余</w:t>
      </w:r>
      <w:r>
        <w:rPr>
          <w:kern w:val="0"/>
        </w:rPr>
        <w:t>23</w:t>
      </w:r>
      <w:r>
        <w:rPr>
          <w:rFonts w:hint="eastAsia"/>
          <w:kern w:val="0"/>
        </w:rPr>
        <w:t>天在海关指定的其他场所隔离。</w:t>
      </w:r>
    </w:p>
    <w:p>
      <w:pPr>
        <w:pStyle w:val="40"/>
        <w:widowControl/>
        <w:autoSpaceDN w:val="0"/>
        <w:jc w:val="both"/>
        <w:rPr>
          <w:kern w:val="0"/>
        </w:rPr>
      </w:pPr>
      <w:r>
        <w:rPr>
          <w:rFonts w:hint="eastAsia"/>
          <w:kern w:val="0"/>
        </w:rPr>
        <w:t>携带宠物属于工作犬，如导盲犬、搜救犬等，携带人提供相应专业训练证明的，可以免予隔离检疫。</w:t>
      </w:r>
    </w:p>
    <w:p>
      <w:pPr>
        <w:pStyle w:val="40"/>
        <w:widowControl/>
        <w:autoSpaceDN w:val="0"/>
        <w:jc w:val="both"/>
        <w:rPr>
          <w:kern w:val="0"/>
        </w:rPr>
      </w:pPr>
      <w:r>
        <w:rPr>
          <w:rFonts w:hint="eastAsia"/>
          <w:kern w:val="0"/>
        </w:rPr>
        <w:t>海关对隔离检疫的宠物实行监督检查。</w:t>
      </w:r>
    </w:p>
    <w:p>
      <w:pPr>
        <w:pStyle w:val="40"/>
        <w:widowControl/>
        <w:autoSpaceDN w:val="0"/>
        <w:jc w:val="both"/>
        <w:rPr>
          <w:kern w:val="0"/>
        </w:rPr>
      </w:pPr>
      <w:r>
        <w:rPr>
          <w:rFonts w:eastAsia="方正黑体_GBK" w:hint="eastAsia"/>
          <w:kern w:val="0"/>
        </w:rPr>
        <w:t>第二十九条</w:t>
      </w:r>
      <w:r>
        <w:rPr>
          <w:rFonts w:hint="eastAsia"/>
          <w:kern w:val="0"/>
        </w:rPr>
        <w:t>携带宠物入境，携带人不能向海关提供输出国家或者地区官方动物检疫机构出具的检疫证书和疫苗接种证书或者超过限额的，由海关作限期退回或者销毁处理。</w:t>
      </w:r>
    </w:p>
    <w:p>
      <w:pPr>
        <w:pStyle w:val="40"/>
        <w:widowControl/>
        <w:autoSpaceDN w:val="0"/>
        <w:jc w:val="both"/>
        <w:rPr>
          <w:kern w:val="0"/>
        </w:rPr>
      </w:pPr>
      <w:r>
        <w:rPr>
          <w:rFonts w:hint="eastAsia"/>
          <w:kern w:val="0"/>
        </w:rPr>
        <w:t>对仅不能提供疫苗接种证书的工作犬，经携带人申请，海关可以对工作犬接种狂犬病疫苗。</w:t>
      </w:r>
    </w:p>
    <w:p>
      <w:pPr>
        <w:pStyle w:val="40"/>
        <w:widowControl/>
        <w:autoSpaceDN w:val="0"/>
        <w:jc w:val="both"/>
        <w:rPr>
          <w:kern w:val="0"/>
        </w:rPr>
      </w:pPr>
      <w:r>
        <w:rPr>
          <w:rFonts w:hint="eastAsia"/>
          <w:kern w:val="0"/>
        </w:rPr>
        <w:t>作限期退回处理的，携带人应当在规定的期限内持海关签发的截留凭证，领取并携带宠物出境；逾期不领取的，作自动放弃处理。</w:t>
      </w:r>
    </w:p>
    <w:p>
      <w:pPr>
        <w:pStyle w:val="40"/>
        <w:widowControl/>
        <w:autoSpaceDN w:val="0"/>
        <w:jc w:val="both"/>
        <w:rPr>
          <w:kern w:val="0"/>
        </w:rPr>
      </w:pPr>
      <w:r>
        <w:rPr>
          <w:rFonts w:eastAsia="方正黑体_GBK" w:hint="eastAsia"/>
          <w:kern w:val="0"/>
        </w:rPr>
        <w:t>第三十条</w:t>
      </w:r>
      <w:r>
        <w:rPr>
          <w:rFonts w:hint="eastAsia"/>
          <w:kern w:val="0"/>
        </w:rPr>
        <w:t>因应当取得而未取得检疫许可证以及其他相关单证被截留的携带物，携带人应当在截留期限内取得单证，海关对单证核查合格，无需作进一步实验室检疫、隔离检疫或者其他检疫处理的，予以放行；未能取得有效单证的，作限期退回或者销毁处理。</w:t>
      </w:r>
    </w:p>
    <w:p>
      <w:pPr>
        <w:pStyle w:val="40"/>
        <w:widowControl/>
        <w:autoSpaceDN w:val="0"/>
        <w:jc w:val="both"/>
        <w:rPr>
          <w:kern w:val="0"/>
        </w:rPr>
      </w:pPr>
      <w:r>
        <w:rPr>
          <w:rFonts w:hint="eastAsia"/>
          <w:kern w:val="0"/>
        </w:rPr>
        <w:t>携带农业转基因生物入境，不能提供农业转基因生物安全证书和相关批准文件的，或者携带物与证书、批准文件不符的，作限期退回或者销毁处理。进口农业转基因生物未按照规定标识的，重新标识后方可入境。</w:t>
      </w:r>
    </w:p>
    <w:p>
      <w:pPr>
        <w:pStyle w:val="40"/>
        <w:widowControl/>
        <w:autoSpaceDN w:val="0"/>
        <w:jc w:val="both"/>
        <w:rPr>
          <w:kern w:val="0"/>
        </w:rPr>
      </w:pPr>
      <w:r>
        <w:rPr>
          <w:rFonts w:eastAsia="方正黑体_GBK" w:hint="eastAsia"/>
          <w:kern w:val="0"/>
        </w:rPr>
        <w:t>第三十一条</w:t>
      </w:r>
      <w:r>
        <w:rPr>
          <w:rFonts w:hint="eastAsia"/>
          <w:kern w:val="0"/>
        </w:rPr>
        <w:t>携带物有下列情况之一的，按照有关规定实施除害处理或者卫生处理：</w:t>
      </w:r>
    </w:p>
    <w:p>
      <w:pPr>
        <w:pStyle w:val="40"/>
        <w:widowControl/>
        <w:autoSpaceDN w:val="0"/>
        <w:jc w:val="both"/>
        <w:rPr>
          <w:kern w:val="0"/>
        </w:rPr>
      </w:pPr>
      <w:r>
        <w:rPr>
          <w:rFonts w:hint="eastAsia"/>
          <w:kern w:val="0"/>
        </w:rPr>
        <w:t>（一）入境动植物、动植物产品和其他检疫物发现有规定病虫害的；</w:t>
      </w:r>
    </w:p>
    <w:p>
      <w:pPr>
        <w:pStyle w:val="40"/>
        <w:widowControl/>
        <w:autoSpaceDN w:val="0"/>
        <w:jc w:val="both"/>
        <w:rPr>
          <w:kern w:val="0"/>
        </w:rPr>
      </w:pPr>
      <w:r>
        <w:rPr>
          <w:rFonts w:hint="eastAsia"/>
          <w:kern w:val="0"/>
        </w:rPr>
        <w:t>（二）出入境的尸体、骸骨不符合卫生要求的；</w:t>
      </w:r>
    </w:p>
    <w:p>
      <w:pPr>
        <w:pStyle w:val="40"/>
        <w:widowControl/>
        <w:autoSpaceDN w:val="0"/>
        <w:jc w:val="both"/>
        <w:rPr>
          <w:kern w:val="0"/>
        </w:rPr>
      </w:pPr>
      <w:r>
        <w:rPr>
          <w:rFonts w:hint="eastAsia"/>
          <w:kern w:val="0"/>
        </w:rPr>
        <w:t>（三）出入境的行李和物品来自传染病疫区、被传染病污染或者可能传播传染病的；</w:t>
      </w:r>
    </w:p>
    <w:p>
      <w:pPr>
        <w:pStyle w:val="40"/>
        <w:widowControl/>
        <w:autoSpaceDN w:val="0"/>
        <w:jc w:val="both"/>
        <w:rPr>
          <w:kern w:val="0"/>
        </w:rPr>
      </w:pPr>
      <w:r>
        <w:rPr>
          <w:rFonts w:hint="eastAsia"/>
          <w:kern w:val="0"/>
        </w:rPr>
        <w:t>（四）其他应当实施除害处理或者卫生处理的。</w:t>
      </w:r>
    </w:p>
    <w:p>
      <w:pPr>
        <w:pStyle w:val="40"/>
        <w:widowControl/>
        <w:autoSpaceDN w:val="0"/>
        <w:jc w:val="both"/>
        <w:rPr>
          <w:kern w:val="0"/>
        </w:rPr>
      </w:pPr>
      <w:r>
        <w:rPr>
          <w:rFonts w:eastAsia="方正黑体_GBK" w:hint="eastAsia"/>
          <w:kern w:val="0"/>
        </w:rPr>
        <w:t>第三十二条</w:t>
      </w:r>
      <w:r>
        <w:rPr>
          <w:rFonts w:hint="eastAsia"/>
          <w:kern w:val="0"/>
        </w:rPr>
        <w:t>携带物有下列情况之一的，海关按照有关规定予以限期退回或者销毁处理，法律法规另有规定的除外：</w:t>
      </w:r>
    </w:p>
    <w:p>
      <w:pPr>
        <w:pStyle w:val="40"/>
        <w:widowControl/>
        <w:autoSpaceDN w:val="0"/>
        <w:jc w:val="both"/>
        <w:rPr>
          <w:kern w:val="0"/>
        </w:rPr>
      </w:pPr>
      <w:r>
        <w:rPr>
          <w:rFonts w:hint="eastAsia"/>
          <w:kern w:val="0"/>
        </w:rPr>
        <w:t>（一）有本办法第二十二条、第二十七条、第二十九条和第三十条所列情形的；</w:t>
      </w:r>
    </w:p>
    <w:p>
      <w:pPr>
        <w:pStyle w:val="40"/>
        <w:widowControl/>
        <w:autoSpaceDN w:val="0"/>
        <w:jc w:val="both"/>
        <w:rPr>
          <w:kern w:val="0"/>
        </w:rPr>
      </w:pPr>
      <w:r>
        <w:rPr>
          <w:rFonts w:hint="eastAsia"/>
          <w:kern w:val="0"/>
        </w:rPr>
        <w:t>（二）法律法规及国家其他规定禁止入境的；</w:t>
      </w:r>
    </w:p>
    <w:p>
      <w:pPr>
        <w:pStyle w:val="40"/>
        <w:widowControl/>
        <w:autoSpaceDN w:val="0"/>
        <w:jc w:val="both"/>
        <w:rPr>
          <w:kern w:val="0"/>
        </w:rPr>
      </w:pPr>
      <w:r>
        <w:rPr>
          <w:rFonts w:hint="eastAsia"/>
          <w:kern w:val="0"/>
        </w:rPr>
        <w:t>（三）其他应当予以限期退回或者作销毁处理的。</w:t>
      </w:r>
    </w:p>
    <w:p>
      <w:pPr>
        <w:pStyle w:val="40"/>
        <w:widowControl/>
        <w:autoSpaceDN w:val="0"/>
        <w:jc w:val="both"/>
        <w:rPr>
          <w:kern w:val="0"/>
        </w:rPr>
      </w:pPr>
    </w:p>
    <w:p>
      <w:pPr>
        <w:pStyle w:val="40"/>
        <w:widowControl/>
        <w:autoSpaceDN w:val="0"/>
        <w:ind w:firstLineChars="0" w:firstLine="0"/>
        <w:jc w:val="center"/>
        <w:rPr>
          <w:rFonts w:eastAsia="方正黑体_GBK"/>
          <w:kern w:val="0"/>
        </w:rPr>
      </w:pPr>
      <w:r>
        <w:rPr>
          <w:rFonts w:eastAsia="方正黑体_GBK" w:hint="eastAsia"/>
          <w:kern w:val="0"/>
        </w:rPr>
        <w:t>第五章 法律责任</w:t>
      </w:r>
    </w:p>
    <w:p>
      <w:pPr>
        <w:pStyle w:val="40"/>
        <w:widowControl/>
        <w:autoSpaceDN w:val="0"/>
        <w:ind w:firstLineChars="0" w:firstLine="0"/>
        <w:rPr>
          <w:rFonts w:eastAsia="方正黑体_GBK"/>
          <w:kern w:val="0"/>
        </w:rPr>
      </w:pPr>
    </w:p>
    <w:p>
      <w:pPr>
        <w:pStyle w:val="40"/>
        <w:widowControl/>
        <w:autoSpaceDN w:val="0"/>
        <w:jc w:val="both"/>
        <w:rPr>
          <w:kern w:val="0"/>
        </w:rPr>
      </w:pPr>
      <w:r>
        <w:rPr>
          <w:rFonts w:eastAsia="方正黑体_GBK" w:hint="eastAsia"/>
          <w:kern w:val="0"/>
        </w:rPr>
        <w:t>第三十三条</w:t>
      </w:r>
      <w:r>
        <w:rPr>
          <w:rFonts w:hint="eastAsia"/>
          <w:kern w:val="0"/>
        </w:rPr>
        <w:t>携带动植物、动植物产品和其他检疫物入境有下列行为之一的，由海关处以</w:t>
      </w:r>
      <w:r>
        <w:rPr>
          <w:kern w:val="0"/>
        </w:rPr>
        <w:t>5000</w:t>
      </w:r>
      <w:r>
        <w:rPr>
          <w:rFonts w:hint="eastAsia"/>
          <w:kern w:val="0"/>
        </w:rPr>
        <w:t>元以下罚款：</w:t>
      </w:r>
    </w:p>
    <w:p>
      <w:pPr>
        <w:pStyle w:val="40"/>
        <w:widowControl/>
        <w:autoSpaceDN w:val="0"/>
        <w:jc w:val="both"/>
        <w:rPr>
          <w:kern w:val="0"/>
        </w:rPr>
      </w:pPr>
      <w:r>
        <w:rPr>
          <w:rFonts w:hint="eastAsia"/>
          <w:kern w:val="0"/>
        </w:rPr>
        <w:t>（一）应当向海关申报而未申报的；</w:t>
      </w:r>
    </w:p>
    <w:p>
      <w:pPr>
        <w:pStyle w:val="40"/>
        <w:widowControl/>
        <w:autoSpaceDN w:val="0"/>
        <w:jc w:val="both"/>
        <w:rPr>
          <w:kern w:val="0"/>
        </w:rPr>
      </w:pPr>
      <w:r>
        <w:rPr>
          <w:rFonts w:hint="eastAsia"/>
          <w:kern w:val="0"/>
        </w:rPr>
        <w:t>（二）申报的动植物、动植物产品和其他检疫物与实际不符的；</w:t>
      </w:r>
    </w:p>
    <w:p>
      <w:pPr>
        <w:pStyle w:val="40"/>
        <w:widowControl/>
        <w:autoSpaceDN w:val="0"/>
        <w:jc w:val="both"/>
        <w:rPr>
          <w:kern w:val="0"/>
        </w:rPr>
      </w:pPr>
      <w:r>
        <w:rPr>
          <w:rFonts w:hint="eastAsia"/>
          <w:kern w:val="0"/>
        </w:rPr>
        <w:t>（三）未依法办理检疫审批手续的；</w:t>
      </w:r>
    </w:p>
    <w:p>
      <w:pPr>
        <w:pStyle w:val="40"/>
        <w:widowControl/>
        <w:autoSpaceDN w:val="0"/>
        <w:jc w:val="both"/>
        <w:rPr>
          <w:kern w:val="0"/>
        </w:rPr>
      </w:pPr>
      <w:r>
        <w:rPr>
          <w:rFonts w:hint="eastAsia"/>
          <w:kern w:val="0"/>
        </w:rPr>
        <w:t>（四）未按照检疫审批的规定执行的。</w:t>
      </w:r>
    </w:p>
    <w:p>
      <w:pPr>
        <w:pStyle w:val="40"/>
        <w:widowControl/>
        <w:autoSpaceDN w:val="0"/>
        <w:jc w:val="both"/>
        <w:rPr>
          <w:kern w:val="0"/>
        </w:rPr>
      </w:pPr>
      <w:r>
        <w:rPr>
          <w:rFonts w:hint="eastAsia"/>
          <w:kern w:val="0"/>
        </w:rPr>
        <w:t>有前款第二项所列行为，已取得检疫单证的，予以吊销。</w:t>
      </w:r>
    </w:p>
    <w:p>
      <w:pPr>
        <w:pStyle w:val="40"/>
        <w:widowControl/>
        <w:autoSpaceDN w:val="0"/>
        <w:jc w:val="both"/>
        <w:rPr>
          <w:kern w:val="0"/>
        </w:rPr>
      </w:pPr>
      <w:r>
        <w:rPr>
          <w:rFonts w:eastAsia="方正黑体_GBK" w:hint="eastAsia"/>
          <w:kern w:val="0"/>
        </w:rPr>
        <w:t>第三十四条</w:t>
      </w:r>
      <w:r>
        <w:rPr>
          <w:rFonts w:hint="eastAsia"/>
          <w:kern w:val="0"/>
        </w:rPr>
        <w:t>有下列违法行为之一的，由海关处以警告或者</w:t>
      </w:r>
      <w:r>
        <w:rPr>
          <w:kern w:val="0"/>
        </w:rPr>
        <w:t>100</w:t>
      </w:r>
      <w:r>
        <w:rPr>
          <w:rFonts w:hint="eastAsia"/>
          <w:kern w:val="0"/>
        </w:rPr>
        <w:t>元以上</w:t>
      </w:r>
      <w:r>
        <w:rPr>
          <w:kern w:val="0"/>
        </w:rPr>
        <w:t>5000</w:t>
      </w:r>
      <w:r>
        <w:rPr>
          <w:rFonts w:hint="eastAsia"/>
          <w:kern w:val="0"/>
        </w:rPr>
        <w:t>元以下罚款：</w:t>
      </w:r>
    </w:p>
    <w:p>
      <w:pPr>
        <w:pStyle w:val="40"/>
        <w:widowControl/>
        <w:autoSpaceDN w:val="0"/>
        <w:jc w:val="both"/>
        <w:rPr>
          <w:kern w:val="0"/>
        </w:rPr>
      </w:pPr>
      <w:r>
        <w:rPr>
          <w:rFonts w:hint="eastAsia"/>
          <w:kern w:val="0"/>
        </w:rPr>
        <w:t>（一）拒绝接受检疫，拒不接受卫生处理的；</w:t>
      </w:r>
    </w:p>
    <w:p>
      <w:pPr>
        <w:pStyle w:val="40"/>
        <w:widowControl/>
        <w:autoSpaceDN w:val="0"/>
        <w:jc w:val="both"/>
        <w:rPr>
          <w:kern w:val="0"/>
        </w:rPr>
      </w:pPr>
      <w:r>
        <w:rPr>
          <w:rFonts w:hint="eastAsia"/>
          <w:kern w:val="0"/>
        </w:rPr>
        <w:t>（二）伪造、变造卫生检疫单证的；</w:t>
      </w:r>
    </w:p>
    <w:p>
      <w:pPr>
        <w:pStyle w:val="40"/>
        <w:widowControl/>
        <w:autoSpaceDN w:val="0"/>
        <w:jc w:val="both"/>
        <w:rPr>
          <w:kern w:val="0"/>
        </w:rPr>
      </w:pPr>
      <w:r>
        <w:rPr>
          <w:rFonts w:hint="eastAsia"/>
          <w:kern w:val="0"/>
        </w:rPr>
        <w:t>（三）瞒报携带禁止进口的微生物、人体组织、生物制品、血液及其制品或者其他可能引起传染病传播的动物和物品的；</w:t>
      </w:r>
    </w:p>
    <w:p>
      <w:pPr>
        <w:pStyle w:val="40"/>
        <w:widowControl/>
        <w:autoSpaceDN w:val="0"/>
        <w:jc w:val="both"/>
        <w:rPr>
          <w:kern w:val="0"/>
        </w:rPr>
      </w:pPr>
      <w:r>
        <w:rPr>
          <w:rFonts w:hint="eastAsia"/>
          <w:kern w:val="0"/>
        </w:rPr>
        <w:t>（四）未经海关许可，擅自装卸行李的；</w:t>
      </w:r>
    </w:p>
    <w:p>
      <w:pPr>
        <w:pStyle w:val="40"/>
        <w:widowControl/>
        <w:autoSpaceDN w:val="0"/>
        <w:jc w:val="both"/>
        <w:rPr>
          <w:kern w:val="0"/>
        </w:rPr>
      </w:pPr>
      <w:r>
        <w:rPr>
          <w:rFonts w:hint="eastAsia"/>
          <w:kern w:val="0"/>
        </w:rPr>
        <w:t>（五）承运人对运载的入境中转人员携带物未单独打板或者分舱运载的。</w:t>
      </w:r>
    </w:p>
    <w:p>
      <w:pPr>
        <w:pStyle w:val="40"/>
        <w:widowControl/>
        <w:autoSpaceDN w:val="0"/>
        <w:jc w:val="both"/>
        <w:rPr>
          <w:kern w:val="0"/>
        </w:rPr>
      </w:pPr>
      <w:r>
        <w:rPr>
          <w:rFonts w:eastAsia="方正黑体_GBK" w:hint="eastAsia"/>
          <w:kern w:val="0"/>
        </w:rPr>
        <w:t>第三十五条</w:t>
      </w:r>
      <w:r>
        <w:rPr>
          <w:rFonts w:hint="eastAsia"/>
          <w:kern w:val="0"/>
        </w:rPr>
        <w:t>未经海关实施卫生处理，擅自移运尸体、骸骨的，由海关处以</w:t>
      </w:r>
      <w:r>
        <w:rPr>
          <w:kern w:val="0"/>
        </w:rPr>
        <w:t>1000</w:t>
      </w:r>
      <w:r>
        <w:rPr>
          <w:rFonts w:hint="eastAsia"/>
          <w:kern w:val="0"/>
        </w:rPr>
        <w:t>元以上</w:t>
      </w:r>
      <w:r>
        <w:rPr>
          <w:kern w:val="0"/>
        </w:rPr>
        <w:t>1</w:t>
      </w:r>
      <w:r>
        <w:rPr>
          <w:rFonts w:hint="eastAsia"/>
          <w:kern w:val="0"/>
        </w:rPr>
        <w:t>万元以下罚款。</w:t>
      </w:r>
    </w:p>
    <w:p>
      <w:pPr>
        <w:pStyle w:val="40"/>
        <w:widowControl/>
        <w:autoSpaceDN w:val="0"/>
        <w:jc w:val="both"/>
        <w:rPr>
          <w:kern w:val="0"/>
        </w:rPr>
      </w:pPr>
      <w:r>
        <w:rPr>
          <w:rFonts w:eastAsia="方正黑体_GBK" w:hint="eastAsia"/>
          <w:kern w:val="0"/>
        </w:rPr>
        <w:t>第三十六条</w:t>
      </w:r>
      <w:r>
        <w:rPr>
          <w:rFonts w:hint="eastAsia"/>
          <w:kern w:val="0"/>
        </w:rPr>
        <w:t>有下列行为之一的，由海关处以</w:t>
      </w:r>
      <w:r>
        <w:rPr>
          <w:kern w:val="0"/>
        </w:rPr>
        <w:t>3000</w:t>
      </w:r>
      <w:r>
        <w:rPr>
          <w:rFonts w:hint="eastAsia"/>
          <w:kern w:val="0"/>
        </w:rPr>
        <w:t>元以上</w:t>
      </w:r>
      <w:r>
        <w:rPr>
          <w:kern w:val="0"/>
        </w:rPr>
        <w:t>3</w:t>
      </w:r>
      <w:r>
        <w:rPr>
          <w:rFonts w:hint="eastAsia"/>
          <w:kern w:val="0"/>
        </w:rPr>
        <w:t>万元以下罚款：</w:t>
      </w:r>
    </w:p>
    <w:p>
      <w:pPr>
        <w:pStyle w:val="40"/>
        <w:widowControl/>
        <w:autoSpaceDN w:val="0"/>
        <w:jc w:val="both"/>
        <w:rPr>
          <w:kern w:val="0"/>
        </w:rPr>
      </w:pPr>
      <w:r>
        <w:rPr>
          <w:rFonts w:hint="eastAsia"/>
          <w:kern w:val="0"/>
        </w:rPr>
        <w:t>（一）未经海关许可擅自将进境、过境动植物、动植物产品和其他检疫物卸离运输工具或者运递的；</w:t>
      </w:r>
    </w:p>
    <w:p>
      <w:pPr>
        <w:pStyle w:val="40"/>
        <w:widowControl/>
        <w:autoSpaceDN w:val="0"/>
        <w:jc w:val="both"/>
        <w:rPr>
          <w:kern w:val="0"/>
        </w:rPr>
      </w:pPr>
      <w:r>
        <w:rPr>
          <w:rFonts w:hint="eastAsia"/>
          <w:kern w:val="0"/>
        </w:rPr>
        <w:t>（二）未经海关许可，擅自调离或者处理在海关指定的隔离场所中截留隔离的携带物的；</w:t>
      </w:r>
    </w:p>
    <w:p>
      <w:pPr>
        <w:pStyle w:val="40"/>
        <w:widowControl/>
        <w:autoSpaceDN w:val="0"/>
        <w:jc w:val="both"/>
        <w:rPr>
          <w:kern w:val="0"/>
        </w:rPr>
      </w:pPr>
      <w:r>
        <w:rPr>
          <w:rFonts w:hint="eastAsia"/>
          <w:kern w:val="0"/>
        </w:rPr>
        <w:t>（三）擅自开拆、损毁动植物检疫封识或者标志的。</w:t>
      </w:r>
    </w:p>
    <w:p>
      <w:pPr>
        <w:pStyle w:val="40"/>
        <w:widowControl/>
        <w:autoSpaceDN w:val="0"/>
        <w:jc w:val="both"/>
        <w:rPr>
          <w:kern w:val="0"/>
        </w:rPr>
      </w:pPr>
      <w:r>
        <w:rPr>
          <w:rFonts w:eastAsia="方正黑体_GBK" w:hint="eastAsia"/>
          <w:kern w:val="0"/>
        </w:rPr>
        <w:t>第三十七条</w:t>
      </w:r>
      <w:r>
        <w:rPr>
          <w:rFonts w:hint="eastAsia"/>
          <w:kern w:val="0"/>
        </w:rPr>
        <w:t>伪造、变造动植物检疫单证、印章、标志、封识的，应当依法移送公安机关；尚不构成犯罪或者犯罪情节显著轻微依法不需要判处刑罚的，由海关处以2万元以上5万元以下罚款。</w:t>
      </w:r>
    </w:p>
    <w:p>
      <w:pPr>
        <w:pStyle w:val="40"/>
        <w:widowControl/>
        <w:autoSpaceDN w:val="0"/>
        <w:jc w:val="both"/>
        <w:rPr>
          <w:kern w:val="0"/>
        </w:rPr>
      </w:pPr>
      <w:r>
        <w:rPr>
          <w:rFonts w:eastAsia="方正黑体_GBK" w:hint="eastAsia"/>
          <w:kern w:val="0"/>
        </w:rPr>
        <w:t>第三十八条</w:t>
      </w:r>
      <w:r>
        <w:rPr>
          <w:rFonts w:hint="eastAsia"/>
          <w:kern w:val="0"/>
        </w:rPr>
        <w:t>携带废旧物品，未向海关申报，未经海关实施卫生处理并签发有关单证而擅自入境、出境的，由海关处以</w:t>
      </w:r>
      <w:r>
        <w:rPr>
          <w:kern w:val="0"/>
        </w:rPr>
        <w:t>5000</w:t>
      </w:r>
      <w:r>
        <w:rPr>
          <w:rFonts w:hint="eastAsia"/>
          <w:kern w:val="0"/>
        </w:rPr>
        <w:t>元以上</w:t>
      </w:r>
      <w:r>
        <w:rPr>
          <w:kern w:val="0"/>
        </w:rPr>
        <w:t>3</w:t>
      </w:r>
      <w:r>
        <w:rPr>
          <w:rFonts w:hint="eastAsia"/>
          <w:kern w:val="0"/>
        </w:rPr>
        <w:t>万元以下罚款。</w:t>
      </w:r>
    </w:p>
    <w:p>
      <w:pPr>
        <w:pStyle w:val="40"/>
        <w:widowControl/>
        <w:autoSpaceDN w:val="0"/>
        <w:jc w:val="both"/>
        <w:rPr>
          <w:kern w:val="0"/>
        </w:rPr>
      </w:pPr>
      <w:r>
        <w:rPr>
          <w:rFonts w:eastAsia="方正黑体_GBK" w:hint="eastAsia"/>
          <w:kern w:val="0"/>
        </w:rPr>
        <w:t>第三十九条</w:t>
      </w:r>
      <w:r>
        <w:rPr>
          <w:rFonts w:hint="eastAsia"/>
          <w:kern w:val="0"/>
        </w:rPr>
        <w:t>买卖动植物检疫单证、印章、标志、封识或者买卖伪造、变造的动植物检疫单证、印章、标志、封识的，有违法所得的，由海关处以违法所得3倍以下罚款，最高不超过3万元；无违法所得的，由海关处以</w:t>
      </w:r>
      <w:r>
        <w:rPr>
          <w:kern w:val="0"/>
        </w:rPr>
        <w:t>1</w:t>
      </w:r>
      <w:r>
        <w:rPr>
          <w:rFonts w:hint="eastAsia"/>
          <w:kern w:val="0"/>
        </w:rPr>
        <w:t>万元以下罚款。</w:t>
      </w:r>
    </w:p>
    <w:p>
      <w:pPr>
        <w:pStyle w:val="40"/>
        <w:widowControl/>
        <w:autoSpaceDN w:val="0"/>
        <w:jc w:val="both"/>
        <w:rPr>
          <w:kern w:val="0"/>
        </w:rPr>
      </w:pPr>
      <w:r>
        <w:rPr>
          <w:rFonts w:hint="eastAsia"/>
          <w:kern w:val="0"/>
        </w:rPr>
        <w:t>买卖卫生检疫单证或者买卖伪造、变造的卫生检疫单证的，有违法所得的，由海关处以违法所得</w:t>
      </w:r>
      <w:r>
        <w:rPr>
          <w:kern w:val="0"/>
        </w:rPr>
        <w:t>3</w:t>
      </w:r>
      <w:r>
        <w:rPr>
          <w:rFonts w:hint="eastAsia"/>
          <w:kern w:val="0"/>
        </w:rPr>
        <w:t>倍以下罚款，最高不超过</w:t>
      </w:r>
      <w:r>
        <w:rPr>
          <w:kern w:val="0"/>
        </w:rPr>
        <w:t>5000</w:t>
      </w:r>
      <w:r>
        <w:rPr>
          <w:rFonts w:hint="eastAsia"/>
          <w:kern w:val="0"/>
        </w:rPr>
        <w:t>元；无违法所得的，由海关处以</w:t>
      </w:r>
      <w:r>
        <w:rPr>
          <w:kern w:val="0"/>
        </w:rPr>
        <w:t>100</w:t>
      </w:r>
      <w:r>
        <w:rPr>
          <w:rFonts w:hint="eastAsia"/>
          <w:kern w:val="0"/>
        </w:rPr>
        <w:t>元以上</w:t>
      </w:r>
      <w:r>
        <w:rPr>
          <w:kern w:val="0"/>
        </w:rPr>
        <w:t>5000</w:t>
      </w:r>
      <w:r>
        <w:rPr>
          <w:rFonts w:hint="eastAsia"/>
          <w:kern w:val="0"/>
        </w:rPr>
        <w:t>元以下罚款。</w:t>
      </w:r>
    </w:p>
    <w:p>
      <w:pPr>
        <w:pStyle w:val="40"/>
        <w:widowControl/>
        <w:autoSpaceDN w:val="0"/>
        <w:jc w:val="both"/>
        <w:rPr>
          <w:kern w:val="0"/>
        </w:rPr>
      </w:pPr>
      <w:r>
        <w:rPr>
          <w:rFonts w:eastAsia="方正黑体_GBK" w:hint="eastAsia"/>
          <w:kern w:val="0"/>
        </w:rPr>
        <w:t>第四十条</w:t>
      </w:r>
      <w:r>
        <w:rPr>
          <w:rFonts w:hint="eastAsia"/>
          <w:kern w:val="0"/>
        </w:rPr>
        <w:t>有下列行为之一的，由海关处以</w:t>
      </w:r>
      <w:r>
        <w:rPr>
          <w:kern w:val="0"/>
        </w:rPr>
        <w:t>1000</w:t>
      </w:r>
      <w:r>
        <w:rPr>
          <w:rFonts w:hint="eastAsia"/>
          <w:kern w:val="0"/>
        </w:rPr>
        <w:t>元以下罚款：</w:t>
      </w:r>
    </w:p>
    <w:p>
      <w:pPr>
        <w:pStyle w:val="40"/>
        <w:widowControl/>
        <w:autoSpaceDN w:val="0"/>
        <w:jc w:val="both"/>
        <w:rPr>
          <w:kern w:val="0"/>
        </w:rPr>
      </w:pPr>
      <w:r>
        <w:rPr>
          <w:rFonts w:hint="eastAsia"/>
          <w:kern w:val="0"/>
        </w:rPr>
        <w:t>（一）盗窃动植物检疫单证、印章、标志、封识或者使用伪造、变造的动植物检疫单证、印章、标志、封识的；</w:t>
      </w:r>
    </w:p>
    <w:p>
      <w:pPr>
        <w:pStyle w:val="40"/>
        <w:widowControl/>
        <w:autoSpaceDN w:val="0"/>
        <w:jc w:val="both"/>
        <w:rPr>
          <w:kern w:val="0"/>
        </w:rPr>
      </w:pPr>
      <w:r>
        <w:rPr>
          <w:rFonts w:hint="eastAsia"/>
          <w:kern w:val="0"/>
        </w:rPr>
        <w:t>（二）盗窃卫生检疫单证或者使用伪造、变造的卫生检疫单证的；</w:t>
      </w:r>
    </w:p>
    <w:p>
      <w:pPr>
        <w:pStyle w:val="40"/>
        <w:widowControl/>
        <w:autoSpaceDN w:val="0"/>
        <w:jc w:val="both"/>
        <w:rPr>
          <w:kern w:val="0"/>
        </w:rPr>
      </w:pPr>
      <w:r>
        <w:rPr>
          <w:rFonts w:hint="eastAsia"/>
          <w:kern w:val="0"/>
        </w:rPr>
        <w:t>（三）使用伪造、变造的国外官方机构出具的检疫证书的。</w:t>
      </w:r>
    </w:p>
    <w:p>
      <w:pPr>
        <w:pStyle w:val="40"/>
        <w:widowControl/>
        <w:autoSpaceDN w:val="0"/>
        <w:jc w:val="both"/>
        <w:rPr>
          <w:kern w:val="0"/>
        </w:rPr>
      </w:pPr>
      <w:r>
        <w:rPr>
          <w:rFonts w:eastAsia="方正黑体_GBK" w:hint="eastAsia"/>
          <w:kern w:val="0"/>
        </w:rPr>
        <w:t>第四十一条</w:t>
      </w:r>
      <w:r>
        <w:rPr>
          <w:rFonts w:hint="eastAsia"/>
          <w:kern w:val="0"/>
        </w:rPr>
        <w:t>出入境人员拒绝、阻碍海关及其工作人员依法执行职务的，依法移送有关部门处理。</w:t>
      </w:r>
    </w:p>
    <w:p>
      <w:pPr>
        <w:pStyle w:val="40"/>
        <w:widowControl/>
        <w:autoSpaceDN w:val="0"/>
        <w:jc w:val="both"/>
        <w:rPr>
          <w:kern w:val="0"/>
        </w:rPr>
      </w:pPr>
      <w:r>
        <w:rPr>
          <w:rFonts w:eastAsia="方正黑体_GBK" w:hint="eastAsia"/>
          <w:kern w:val="0"/>
        </w:rPr>
        <w:t>第四十二条</w:t>
      </w:r>
      <w:r>
        <w:rPr>
          <w:rFonts w:hint="eastAsia"/>
          <w:kern w:val="0"/>
        </w:rPr>
        <w:t>海关工作人员应当秉公执法、忠于职守，不得滥用职权、玩忽职守、徇私舞弊；违法失职的，依法追究责任。</w:t>
      </w:r>
    </w:p>
    <w:p>
      <w:pPr>
        <w:pStyle w:val="40"/>
        <w:widowControl/>
        <w:autoSpaceDN w:val="0"/>
        <w:ind w:firstLineChars="0" w:firstLine="0"/>
        <w:jc w:val="center"/>
        <w:rPr>
          <w:kern w:val="0"/>
        </w:rPr>
      </w:pPr>
    </w:p>
    <w:p>
      <w:pPr>
        <w:pStyle w:val="40"/>
        <w:widowControl/>
        <w:autoSpaceDN w:val="0"/>
        <w:ind w:firstLineChars="0" w:firstLine="0"/>
        <w:jc w:val="center"/>
        <w:rPr>
          <w:rFonts w:eastAsia="方正黑体_GBK"/>
          <w:kern w:val="0"/>
        </w:rPr>
      </w:pPr>
      <w:r>
        <w:rPr>
          <w:rFonts w:eastAsia="方正黑体_GBK" w:hint="eastAsia"/>
          <w:kern w:val="0"/>
        </w:rPr>
        <w:t>第六章 附 则</w:t>
      </w:r>
    </w:p>
    <w:p>
      <w:pPr>
        <w:pStyle w:val="40"/>
        <w:widowControl/>
        <w:autoSpaceDN w:val="0"/>
        <w:ind w:firstLineChars="0" w:firstLine="0"/>
        <w:jc w:val="center"/>
        <w:rPr>
          <w:rFonts w:eastAsia="方正黑体_GBK"/>
          <w:kern w:val="0"/>
        </w:rPr>
      </w:pPr>
    </w:p>
    <w:p>
      <w:pPr>
        <w:pStyle w:val="40"/>
        <w:widowControl/>
        <w:autoSpaceDN w:val="0"/>
        <w:rPr>
          <w:kern w:val="0"/>
        </w:rPr>
      </w:pPr>
      <w:r>
        <w:rPr>
          <w:rFonts w:eastAsia="方正黑体_GBK" w:hint="eastAsia"/>
          <w:kern w:val="0"/>
        </w:rPr>
        <w:t>第四十三条</w:t>
      </w:r>
      <w:r>
        <w:rPr>
          <w:rFonts w:hint="eastAsia"/>
          <w:kern w:val="0"/>
        </w:rPr>
        <w:t>本法所称分离运输的物品是指出入境人员在其入境后或者出境前</w:t>
      </w:r>
      <w:r>
        <w:rPr>
          <w:kern w:val="0"/>
        </w:rPr>
        <w:t>6</w:t>
      </w:r>
      <w:r>
        <w:rPr>
          <w:rFonts w:hint="eastAsia"/>
          <w:kern w:val="0"/>
        </w:rPr>
        <w:t>个月内（含</w:t>
      </w:r>
      <w:r>
        <w:rPr>
          <w:kern w:val="0"/>
        </w:rPr>
        <w:t>6</w:t>
      </w:r>
      <w:r>
        <w:rPr>
          <w:rFonts w:hint="eastAsia"/>
          <w:kern w:val="0"/>
        </w:rPr>
        <w:t>个月），以托运方式运进或者运出的本人行李物品。</w:t>
      </w:r>
    </w:p>
    <w:p>
      <w:pPr>
        <w:pStyle w:val="40"/>
        <w:widowControl/>
        <w:autoSpaceDN w:val="0"/>
        <w:rPr>
          <w:kern w:val="0"/>
        </w:rPr>
      </w:pPr>
      <w:r>
        <w:rPr>
          <w:rFonts w:eastAsia="方正黑体_GBK" w:hint="eastAsia"/>
          <w:kern w:val="0"/>
        </w:rPr>
        <w:t>第四十四条</w:t>
      </w:r>
      <w:r>
        <w:rPr>
          <w:rFonts w:hint="eastAsia"/>
          <w:kern w:val="0"/>
        </w:rPr>
        <w:t>需要收取费用的，海关按照有关规定执行。</w:t>
      </w:r>
    </w:p>
    <w:p>
      <w:pPr>
        <w:pStyle w:val="40"/>
        <w:widowControl/>
        <w:autoSpaceDN w:val="0"/>
        <w:rPr>
          <w:kern w:val="0"/>
        </w:rPr>
      </w:pPr>
      <w:r>
        <w:rPr>
          <w:rFonts w:eastAsia="方正黑体_GBK" w:hint="eastAsia"/>
          <w:kern w:val="0"/>
        </w:rPr>
        <w:t>第四十五条</w:t>
      </w:r>
      <w:r>
        <w:rPr>
          <w:rFonts w:hint="eastAsia"/>
          <w:kern w:val="0"/>
        </w:rPr>
        <w:t>违反本办法规定，构成犯罪的，依法追究刑事责任。</w:t>
      </w:r>
    </w:p>
    <w:p>
      <w:pPr>
        <w:pStyle w:val="40"/>
        <w:widowControl/>
        <w:autoSpaceDN w:val="0"/>
        <w:rPr>
          <w:kern w:val="0"/>
        </w:rPr>
      </w:pPr>
      <w:r>
        <w:rPr>
          <w:rFonts w:eastAsia="方正黑体_GBK" w:hint="eastAsia"/>
          <w:kern w:val="0"/>
        </w:rPr>
        <w:t>第四十六条</w:t>
      </w:r>
      <w:r>
        <w:rPr>
          <w:rFonts w:hint="eastAsia"/>
          <w:kern w:val="0"/>
        </w:rPr>
        <w:t>本办法由海关总署负责解释。</w:t>
      </w:r>
    </w:p>
    <w:p>
      <w:pPr>
        <w:pStyle w:val="40"/>
        <w:autoSpaceDN w:val="0"/>
      </w:pPr>
      <w:r>
        <w:rPr>
          <w:rFonts w:eastAsia="方正黑体_GBK" w:hint="eastAsia"/>
          <w:kern w:val="0"/>
        </w:rPr>
        <w:t>第四十七条</w:t>
      </w:r>
      <w:r>
        <w:rPr>
          <w:rFonts w:hint="eastAsia"/>
          <w:kern w:val="0"/>
        </w:rPr>
        <w:t>本办法自</w:t>
      </w:r>
      <w:r>
        <w:rPr>
          <w:kern w:val="0"/>
        </w:rPr>
        <w:t>2012</w:t>
      </w:r>
      <w:r>
        <w:rPr>
          <w:rFonts w:hint="eastAsia"/>
          <w:kern w:val="0"/>
        </w:rPr>
        <w:t>年</w:t>
      </w:r>
      <w:r>
        <w:rPr>
          <w:kern w:val="0"/>
        </w:rPr>
        <w:t>11</w:t>
      </w:r>
      <w:r>
        <w:rPr>
          <w:rFonts w:hint="eastAsia"/>
          <w:kern w:val="0"/>
        </w:rPr>
        <w:t>月</w:t>
      </w:r>
      <w:r>
        <w:rPr>
          <w:kern w:val="0"/>
        </w:rPr>
        <w:t>1</w:t>
      </w:r>
      <w:r>
        <w:rPr>
          <w:rFonts w:hint="eastAsia"/>
          <w:kern w:val="0"/>
        </w:rPr>
        <w:t>日起施行。国家质检总局2003年11月6日发布的《出入境人员携带物检疫管理办法》（国家质检总局令第</w:t>
      </w:r>
      <w:r>
        <w:rPr>
          <w:kern w:val="0"/>
        </w:rPr>
        <w:t>56</w:t>
      </w:r>
      <w:r>
        <w:rPr>
          <w:rFonts w:hint="eastAsia"/>
          <w:kern w:val="0"/>
        </w:rPr>
        <w:t>号）同时废止。</w:t>
      </w: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Pr>
        <w:rPr>
          <w:rFonts w:ascii="方正黑体_GBK" w:eastAsia="方正黑体_GBK" w:cs="宋体"/>
          <w:kern w:val="0"/>
          <w:sz w:val="32"/>
          <w:szCs w:val="32"/>
        </w:rPr>
      </w:pPr>
      <w:r>
        <w:rPr>
          <w:rFonts w:ascii="方正黑体_GBK" w:eastAsia="方正黑体_GBK" w:cs="宋体" w:hint="eastAsia"/>
          <w:kern w:val="0"/>
          <w:sz w:val="32"/>
          <w:szCs w:val="32"/>
        </w:rPr>
        <w:t>附</w:t>
      </w:r>
      <w:r>
        <w:rPr>
          <w:rFonts w:ascii="方正黑体_GBK" w:eastAsia="方正黑体_GBK" w:cs="宋体"/>
          <w:kern w:val="0"/>
          <w:sz w:val="32"/>
          <w:szCs w:val="32"/>
        </w:rPr>
        <w:t>表</w:t>
      </w:r>
      <w:r>
        <w:rPr>
          <w:rFonts w:ascii="方正黑体_GBK" w:eastAsia="方正黑体_GBK" w:cs="宋体" w:hint="eastAsia"/>
          <w:kern w:val="0"/>
          <w:sz w:val="32"/>
          <w:szCs w:val="32"/>
        </w:rPr>
        <w:t>6</w:t>
      </w:r>
    </w:p>
    <w:p>
      <w:pPr>
        <w:jc w:val="center"/>
        <w:rPr>
          <w:sz w:val="44"/>
          <w:szCs w:val="44"/>
        </w:rPr>
      </w:pPr>
      <w:r>
        <w:rPr>
          <w:rFonts w:ascii="方正小标宋_GBK" w:eastAsia="方正小标宋_GBK" w:hint="eastAsia"/>
          <w:sz w:val="44"/>
          <w:szCs w:val="44"/>
        </w:rPr>
        <w:t>中华人民共和国禁止携带、寄递进境的动植物及其产品和其他检疫物名录</w:t>
      </w:r>
      <w:r>
        <w:rPr>
          <w:rFonts w:ascii="方正仿宋_GBK" w:eastAsia="方正仿宋_GBK" w:cs="宋体" w:hint="eastAsia"/>
          <w:kern w:val="0"/>
          <w:sz w:val="44"/>
          <w:szCs w:val="44"/>
          <w:vertAlign w:val="superscript"/>
        </w:rPr>
        <w:t>【</w:t>
      </w:r>
      <w:r>
        <w:rPr>
          <w:rFonts w:ascii="方正仿宋_GBK" w:eastAsia="方正仿宋_GBK" w:cs="宋体"/>
          <w:kern w:val="0"/>
          <w:sz w:val="44"/>
          <w:szCs w:val="44"/>
          <w:vertAlign w:val="superscript"/>
        </w:rPr>
        <w:t>1</w:t>
      </w:r>
      <w:r>
        <w:rPr>
          <w:rFonts w:ascii="方正仿宋_GBK" w:eastAsia="方正仿宋_GBK" w:cs="宋体" w:hint="eastAsia"/>
          <w:kern w:val="0"/>
          <w:sz w:val="44"/>
          <w:szCs w:val="44"/>
          <w:vertAlign w:val="superscript"/>
        </w:rPr>
        <w:t>】</w:t>
      </w:r>
    </w:p>
    <w:p>
      <w:pPr>
        <w:jc w:val="left"/>
        <w:rPr>
          <w:rFonts w:ascii="方正黑体_GBK" w:eastAsia="方正黑体_GBK"/>
          <w:sz w:val="32"/>
          <w:szCs w:val="32"/>
        </w:rPr>
      </w:pPr>
      <w:r>
        <w:rPr>
          <w:rFonts w:ascii="方正黑体_GBK" w:eastAsia="方正黑体_GBK" w:hint="eastAsia"/>
          <w:sz w:val="32"/>
          <w:szCs w:val="32"/>
        </w:rPr>
        <w:t xml:space="preserve"> </w:t>
      </w:r>
      <w:r>
        <w:rPr>
          <w:rFonts w:ascii="方正黑体_GBK" w:eastAsia="方正黑体_GBK"/>
          <w:sz w:val="32"/>
          <w:szCs w:val="32"/>
        </w:rPr>
        <w:t xml:space="preserve">    </w:t>
      </w:r>
      <w:r>
        <w:rPr>
          <w:rFonts w:ascii="方正黑体_GBK" w:eastAsia="方正黑体_GBK" w:hint="eastAsia"/>
          <w:sz w:val="32"/>
          <w:szCs w:val="32"/>
        </w:rPr>
        <w:t xml:space="preserve"> 一、动物及动物产品类</w:t>
      </w:r>
    </w:p>
    <w:p>
      <w:pPr>
        <w:jc w:val="left"/>
        <w:rPr>
          <w:rFonts w:ascii="方正仿宋_GBK" w:eastAsia="方正仿宋_GBK"/>
          <w:sz w:val="32"/>
          <w:szCs w:val="32"/>
        </w:rPr>
      </w:pPr>
      <w:r>
        <w:rPr>
          <w:rFonts w:ascii="方正仿宋_GBK" w:eastAsia="方正仿宋_GBK" w:hint="eastAsia"/>
          <w:sz w:val="32"/>
          <w:szCs w:val="32"/>
        </w:rPr>
        <w:t xml:space="preserve"> </w:t>
      </w:r>
      <w:r>
        <w:rPr>
          <w:rFonts w:ascii="方正仿宋_GBK" w:eastAsia="方正仿宋_GBK"/>
          <w:sz w:val="32"/>
          <w:szCs w:val="32"/>
        </w:rPr>
        <w:t xml:space="preserve">    </w:t>
      </w:r>
      <w:r>
        <w:rPr>
          <w:rFonts w:ascii="方正仿宋_GBK" w:eastAsia="方正仿宋_GBK" w:hint="eastAsia"/>
          <w:sz w:val="32"/>
          <w:szCs w:val="32"/>
        </w:rPr>
        <w:t>（一）活动物（犬、猫除外</w:t>
      </w:r>
      <w:r>
        <w:rPr>
          <w:rFonts w:ascii="方正仿宋_GBK" w:eastAsia="方正仿宋_GBK" w:cs="宋体" w:hint="eastAsia"/>
          <w:kern w:val="0"/>
          <w:sz w:val="32"/>
          <w:szCs w:val="32"/>
          <w:vertAlign w:val="superscript"/>
        </w:rPr>
        <w:t>【2】</w:t>
      </w:r>
      <w:r>
        <w:rPr>
          <w:rFonts w:ascii="方正仿宋_GBK" w:eastAsia="方正仿宋_GBK" w:hint="eastAsia"/>
          <w:sz w:val="32"/>
          <w:szCs w:val="32"/>
        </w:rPr>
        <w:t>）。包括所有的哺乳动物、乌类、鱼类。甲壳类、两栖类、爬行类、昆虫类和其他无脊椎动物，动物遗传物质。</w:t>
      </w:r>
    </w:p>
    <w:p>
      <w:pPr>
        <w:ind w:firstLineChars="200" w:firstLine="640"/>
        <w:jc w:val="left"/>
        <w:rPr>
          <w:rFonts w:ascii="方正仿宋_GBK" w:eastAsia="方正仿宋_GBK"/>
          <w:sz w:val="32"/>
          <w:szCs w:val="32"/>
        </w:rPr>
      </w:pPr>
      <w:r>
        <w:rPr>
          <w:rFonts w:ascii="方正仿宋_GBK" w:eastAsia="方正仿宋_GBK" w:hint="eastAsia"/>
          <w:sz w:val="32"/>
          <w:szCs w:val="32"/>
        </w:rPr>
        <w:t>（二）（生或熟）肉类（含脏器类）限其制品。</w:t>
      </w:r>
    </w:p>
    <w:p>
      <w:pPr>
        <w:ind w:firstLineChars="200" w:firstLine="640"/>
        <w:jc w:val="left"/>
        <w:rPr>
          <w:rFonts w:ascii="方正仿宋_GBK" w:eastAsia="方正仿宋_GBK"/>
          <w:sz w:val="32"/>
          <w:szCs w:val="32"/>
        </w:rPr>
      </w:pPr>
      <w:r>
        <w:rPr>
          <w:rFonts w:ascii="方正仿宋_GBK" w:eastAsia="方正仿宋_GBK" w:hint="eastAsia"/>
          <w:sz w:val="32"/>
          <w:szCs w:val="32"/>
        </w:rPr>
        <w:t>（三）水生动物产品。干制；熟制，发酵后制成的食用酱汁类水生动物产品除外。</w:t>
      </w:r>
    </w:p>
    <w:p>
      <w:pPr>
        <w:ind w:firstLineChars="200" w:firstLine="640"/>
        <w:jc w:val="left"/>
        <w:rPr>
          <w:rFonts w:ascii="方正仿宋_GBK" w:eastAsia="方正仿宋_GBK"/>
          <w:sz w:val="32"/>
          <w:szCs w:val="32"/>
        </w:rPr>
      </w:pPr>
      <w:r>
        <w:rPr>
          <w:rFonts w:ascii="方正仿宋_GBK" w:eastAsia="方正仿宋_GBK" w:hint="eastAsia"/>
          <w:sz w:val="32"/>
          <w:szCs w:val="32"/>
        </w:rPr>
        <w:t>（四）动物源性乳及乳制品。包括生乳、巴氏杀茵乳、灭菌乳、调制乳、发酵乳，奶油、黄油、奶酪、炼乳等乳制品。</w:t>
      </w:r>
    </w:p>
    <w:p>
      <w:pPr>
        <w:ind w:firstLineChars="200" w:firstLine="640"/>
        <w:jc w:val="left"/>
        <w:rPr>
          <w:rFonts w:ascii="方正仿宋_GBK" w:eastAsia="方正仿宋_GBK"/>
          <w:sz w:val="32"/>
          <w:szCs w:val="32"/>
        </w:rPr>
      </w:pPr>
      <w:r>
        <w:rPr>
          <w:rFonts w:ascii="方正仿宋_GBK" w:eastAsia="方正仿宋_GBK" w:hint="eastAsia"/>
          <w:sz w:val="32"/>
          <w:szCs w:val="32"/>
        </w:rPr>
        <w:t>（五）蛋及其制品。包括鲜蛋、皮蛋。咸蛋、蛋液、蛋壳。蛋黄酱等蛋源产品。</w:t>
      </w:r>
    </w:p>
    <w:p>
      <w:pPr>
        <w:ind w:firstLineChars="200" w:firstLine="640"/>
        <w:jc w:val="left"/>
        <w:rPr>
          <w:rFonts w:ascii="方正仿宋_GBK" w:eastAsia="方正仿宋_GBK"/>
          <w:sz w:val="32"/>
          <w:szCs w:val="32"/>
        </w:rPr>
      </w:pPr>
      <w:r>
        <w:rPr>
          <w:rFonts w:ascii="方正仿宋_GBK" w:eastAsia="方正仿宋_GBK" w:hint="eastAsia"/>
          <w:sz w:val="32"/>
          <w:szCs w:val="32"/>
        </w:rPr>
        <w:t>（六）燕窝。经商业无茵处理的罐头装燕窝除外。</w:t>
      </w:r>
    </w:p>
    <w:p>
      <w:pPr>
        <w:ind w:firstLineChars="200" w:firstLine="640"/>
        <w:jc w:val="left"/>
        <w:rPr>
          <w:rFonts w:ascii="方正仿宋_GBK" w:eastAsia="方正仿宋_GBK"/>
          <w:sz w:val="32"/>
          <w:szCs w:val="32"/>
        </w:rPr>
      </w:pPr>
      <w:r>
        <w:rPr>
          <w:rFonts w:ascii="方正仿宋_GBK" w:eastAsia="方正仿宋_GBK" w:hint="eastAsia"/>
          <w:sz w:val="32"/>
          <w:szCs w:val="32"/>
        </w:rPr>
        <w:t>（七）油脂类，皮张，原毛类，蹄（爪）、骨、牙、角类及其制品。经加工处理且无血污、肌肉和脂肪等的蛋壳类、蹄（爪）隋角类、贝壳类、甲壳类等工艺品除外。</w:t>
      </w:r>
    </w:p>
    <w:p>
      <w:pPr>
        <w:ind w:firstLineChars="200" w:firstLine="640"/>
        <w:jc w:val="left"/>
        <w:rPr>
          <w:rFonts w:ascii="方正仿宋_GBK" w:eastAsia="方正仿宋_GBK"/>
          <w:sz w:val="32"/>
          <w:szCs w:val="32"/>
        </w:rPr>
      </w:pPr>
      <w:r>
        <w:rPr>
          <w:rFonts w:ascii="方正仿宋_GBK" w:eastAsia="方正仿宋_GBK" w:hint="eastAsia"/>
          <w:sz w:val="32"/>
          <w:szCs w:val="32"/>
        </w:rPr>
        <w:t>（八）动物源性饲料、动物源性中药材、动物源性肥料。</w:t>
      </w:r>
    </w:p>
    <w:p>
      <w:pPr>
        <w:ind w:firstLineChars="200" w:firstLine="640"/>
        <w:jc w:val="left"/>
        <w:rPr>
          <w:rFonts w:ascii="方正黑体_GBK" w:eastAsia="方正黑体_GBK"/>
          <w:sz w:val="32"/>
          <w:szCs w:val="32"/>
        </w:rPr>
      </w:pPr>
      <w:r>
        <w:rPr>
          <w:rFonts w:ascii="方正黑体_GBK" w:eastAsia="方正黑体_GBK" w:hint="eastAsia"/>
          <w:sz w:val="32"/>
          <w:szCs w:val="32"/>
        </w:rPr>
        <w:t>二、植物及植物产品类</w:t>
      </w:r>
    </w:p>
    <w:p>
      <w:pPr>
        <w:ind w:firstLineChars="200" w:firstLine="640"/>
        <w:jc w:val="left"/>
        <w:rPr>
          <w:rFonts w:ascii="方正仿宋_GBK" w:eastAsia="方正仿宋_GBK"/>
          <w:sz w:val="32"/>
          <w:szCs w:val="32"/>
        </w:rPr>
      </w:pPr>
      <w:r>
        <w:rPr>
          <w:rFonts w:ascii="方正仿宋_GBK" w:eastAsia="方正仿宋_GBK" w:hint="eastAsia"/>
          <w:sz w:val="32"/>
          <w:szCs w:val="32"/>
        </w:rPr>
        <w:t>（九）新鲜水果、蔬菜。</w:t>
      </w:r>
    </w:p>
    <w:p>
      <w:pPr>
        <w:ind w:firstLineChars="200" w:firstLine="640"/>
        <w:jc w:val="left"/>
        <w:rPr>
          <w:rFonts w:ascii="方正仿宋_GBK" w:eastAsia="方正仿宋_GBK"/>
          <w:sz w:val="32"/>
          <w:szCs w:val="32"/>
        </w:rPr>
      </w:pPr>
      <w:r>
        <w:rPr>
          <w:rFonts w:ascii="方正仿宋_GBK" w:eastAsia="方正仿宋_GBK" w:hint="eastAsia"/>
          <w:sz w:val="32"/>
          <w:szCs w:val="32"/>
        </w:rPr>
        <w:t>（十）鲜切花。</w:t>
      </w:r>
    </w:p>
    <w:p>
      <w:pPr>
        <w:ind w:firstLineChars="200" w:firstLine="640"/>
        <w:jc w:val="left"/>
        <w:rPr>
          <w:rFonts w:ascii="方正仿宋_GBK" w:eastAsia="方正仿宋_GBK"/>
          <w:sz w:val="32"/>
          <w:szCs w:val="32"/>
        </w:rPr>
      </w:pPr>
      <w:r>
        <w:rPr>
          <w:rFonts w:ascii="方正仿宋_GBK" w:eastAsia="方正仿宋_GBK" w:hint="eastAsia"/>
          <w:sz w:val="32"/>
          <w:szCs w:val="32"/>
        </w:rPr>
        <w:t>（十一）烟叶。</w:t>
      </w:r>
    </w:p>
    <w:p>
      <w:pPr>
        <w:ind w:firstLineChars="200" w:firstLine="640"/>
        <w:jc w:val="left"/>
        <w:rPr>
          <w:rFonts w:ascii="方正仿宋_GBK" w:eastAsia="方正仿宋_GBK"/>
          <w:sz w:val="32"/>
          <w:szCs w:val="32"/>
        </w:rPr>
      </w:pPr>
      <w:r>
        <w:rPr>
          <w:rFonts w:ascii="方正仿宋_GBK" w:eastAsia="方正仿宋_GBK" w:hint="eastAsia"/>
          <w:sz w:val="32"/>
          <w:szCs w:val="32"/>
        </w:rPr>
        <w:t>（十二）种子、种苗及其他具有繁殖能力的植物、植物产品及材料。</w:t>
      </w:r>
    </w:p>
    <w:p>
      <w:pPr>
        <w:ind w:firstLineChars="200" w:firstLine="640"/>
        <w:jc w:val="left"/>
        <w:rPr>
          <w:rFonts w:ascii="方正黑体_GBK" w:eastAsia="方正黑体_GBK"/>
          <w:sz w:val="32"/>
          <w:szCs w:val="32"/>
        </w:rPr>
      </w:pPr>
      <w:r>
        <w:rPr>
          <w:rFonts w:ascii="方正黑体_GBK" w:eastAsia="方正黑体_GBK" w:hint="eastAsia"/>
          <w:sz w:val="32"/>
          <w:szCs w:val="32"/>
        </w:rPr>
        <w:t xml:space="preserve"> 三、真他检疫物类</w:t>
      </w:r>
    </w:p>
    <w:p>
      <w:pPr>
        <w:ind w:firstLineChars="200" w:firstLine="640"/>
        <w:jc w:val="left"/>
        <w:rPr>
          <w:rFonts w:ascii="方正仿宋_GBK" w:eastAsia="方正仿宋_GBK"/>
          <w:sz w:val="32"/>
          <w:szCs w:val="32"/>
        </w:rPr>
      </w:pPr>
      <w:r>
        <w:rPr>
          <w:rFonts w:ascii="方正仿宋_GBK" w:eastAsia="方正仿宋_GBK" w:hint="eastAsia"/>
          <w:sz w:val="32"/>
          <w:szCs w:val="32"/>
        </w:rPr>
        <w:t>（十三）菌种、毒种、寄生虫等动植物病原体，害虫及其他有害生物，兽用生物制品，细胞、器官组织、血液及其制品等生物材料及其他高风险生物因子。</w:t>
      </w:r>
    </w:p>
    <w:p>
      <w:pPr>
        <w:ind w:firstLineChars="200" w:firstLine="640"/>
        <w:jc w:val="left"/>
        <w:rPr>
          <w:rFonts w:ascii="方正仿宋_GBK" w:eastAsia="方正仿宋_GBK"/>
          <w:sz w:val="32"/>
          <w:szCs w:val="32"/>
        </w:rPr>
      </w:pPr>
      <w:r>
        <w:rPr>
          <w:rFonts w:ascii="方正仿宋_GBK" w:eastAsia="方正仿宋_GBK" w:hint="eastAsia"/>
          <w:sz w:val="32"/>
          <w:szCs w:val="32"/>
        </w:rPr>
        <w:t>（十四）动物尸体、动物标本、动物源性废弃物。</w:t>
      </w:r>
    </w:p>
    <w:p>
      <w:pPr>
        <w:ind w:firstLineChars="200" w:firstLine="640"/>
        <w:jc w:val="left"/>
        <w:rPr>
          <w:rFonts w:ascii="方正仿宋_GBK" w:eastAsia="方正仿宋_GBK"/>
          <w:sz w:val="32"/>
          <w:szCs w:val="32"/>
        </w:rPr>
      </w:pPr>
      <w:r>
        <w:rPr>
          <w:rFonts w:ascii="方正仿宋_GBK" w:eastAsia="方正仿宋_GBK" w:hint="eastAsia"/>
          <w:sz w:val="32"/>
          <w:szCs w:val="32"/>
        </w:rPr>
        <w:t>（十五）土壤及有机栽培介质。</w:t>
      </w:r>
    </w:p>
    <w:p>
      <w:pPr>
        <w:ind w:firstLineChars="200" w:firstLine="640"/>
        <w:jc w:val="left"/>
        <w:rPr>
          <w:rFonts w:ascii="方正仿宋_GBK" w:eastAsia="方正仿宋_GBK"/>
          <w:sz w:val="32"/>
          <w:szCs w:val="32"/>
        </w:rPr>
      </w:pPr>
      <w:r>
        <w:rPr>
          <w:rFonts w:ascii="方正仿宋_GBK" w:eastAsia="方正仿宋_GBK" w:hint="eastAsia"/>
          <w:sz w:val="32"/>
          <w:szCs w:val="32"/>
        </w:rPr>
        <w:t>（十六）转基因生物材料。</w:t>
      </w:r>
    </w:p>
    <w:p>
      <w:pPr>
        <w:ind w:firstLineChars="200" w:firstLine="640"/>
        <w:jc w:val="left"/>
        <w:rPr>
          <w:rFonts w:ascii="方正仿宋_GBK" w:eastAsia="方正仿宋_GBK"/>
          <w:sz w:val="32"/>
          <w:szCs w:val="32"/>
        </w:rPr>
      </w:pPr>
      <w:r>
        <w:rPr>
          <w:rFonts w:ascii="方正仿宋_GBK" w:eastAsia="方正仿宋_GBK" w:hint="eastAsia"/>
          <w:sz w:val="32"/>
          <w:szCs w:val="32"/>
        </w:rPr>
        <w:t>（十七）国家禁止进境的其他动植物、动植物产品和其他检疫物。</w:t>
      </w:r>
    </w:p>
    <w:p>
      <w:pPr>
        <w:jc w:val="left"/>
        <w:rPr>
          <w:rFonts w:ascii="方正仿宋_GBK" w:eastAsia="方正仿宋_GBK"/>
          <w:sz w:val="32"/>
          <w:szCs w:val="32"/>
        </w:rPr>
      </w:pPr>
      <w:r>
        <w:rPr>
          <w:rFonts w:ascii="方正仿宋_GBK" w:eastAsia="方正仿宋_GBK" w:hint="eastAsia"/>
          <w:sz w:val="32"/>
          <w:szCs w:val="32"/>
        </w:rPr>
        <w:t xml:space="preserve">    注：1、通过携带或寄递方式进境的动植物及其产品和其他检疫物，经国家有关行政主管部门审批许可，并具有输出国家或地区官方机构出具的检疫证书，不受此名录的限制。</w:t>
      </w:r>
    </w:p>
    <w:p>
      <w:pPr>
        <w:jc w:val="left"/>
        <w:rPr>
          <w:rFonts w:ascii="方正仿宋_GBK" w:eastAsia="方正仿宋_GBK"/>
          <w:sz w:val="32"/>
          <w:szCs w:val="32"/>
        </w:rPr>
      </w:pPr>
      <w:r>
        <w:rPr>
          <w:rFonts w:ascii="方正仿宋_GBK" w:eastAsia="方正仿宋_GBK" w:hint="eastAsia"/>
          <w:sz w:val="32"/>
          <w:szCs w:val="32"/>
        </w:rPr>
        <w:t xml:space="preserve">    2、具有输出国家或地区官方机构出具的动物检疫证书和疫苗接种证书的犬、猫等宠物，每人仅限携带或分离托运一只。具体检疫要求按相关规定执行。</w:t>
      </w:r>
    </w:p>
    <w:p>
      <w:pPr>
        <w:jc w:val="left"/>
        <w:rPr>
          <w:rFonts w:ascii="方正仿宋_GBK" w:eastAsia="方正仿宋_GBK"/>
          <w:sz w:val="32"/>
          <w:szCs w:val="32"/>
        </w:rPr>
      </w:pPr>
      <w:r>
        <w:rPr>
          <w:rFonts w:ascii="方正仿宋_GBK" w:eastAsia="方正仿宋_GBK" w:hint="eastAsia"/>
          <w:sz w:val="32"/>
          <w:szCs w:val="32"/>
        </w:rPr>
        <w:t xml:space="preserve">    3、法律、行政法规、部门规章对禁止携带、寄递进境的动植物及其产品和其他检疫物另有规定的，按相关规定办理。</w:t>
      </w: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rPr>
          <w:rFonts w:ascii="方正黑体_GBK" w:eastAsia="方正黑体_GBK" w:cs="宋体"/>
          <w:kern w:val="0"/>
          <w:sz w:val="32"/>
          <w:szCs w:val="32"/>
        </w:rPr>
      </w:pPr>
    </w:p>
    <w:p>
      <w:pPr>
        <w:spacing w:line="560" w:lineRule="exact"/>
        <w:rPr>
          <w:rFonts w:ascii="方正黑体_GBK" w:eastAsia="方正黑体_GBK"/>
          <w:spacing w:val="-4"/>
          <w:sz w:val="32"/>
          <w:szCs w:val="32"/>
        </w:rPr>
      </w:pPr>
      <w:r>
        <w:rPr>
          <w:rFonts w:ascii="方正黑体_GBK" w:eastAsia="方正黑体_GBK" w:hint="eastAsia"/>
          <w:spacing w:val="-4"/>
          <w:sz w:val="32"/>
          <w:szCs w:val="32"/>
        </w:rPr>
        <w:t>附</w:t>
      </w:r>
      <w:r>
        <w:rPr>
          <w:rFonts w:ascii="方正黑体_GBK" w:eastAsia="方正黑体_GBK"/>
          <w:spacing w:val="-4"/>
          <w:sz w:val="32"/>
          <w:szCs w:val="32"/>
        </w:rPr>
        <w:t>表7</w:t>
      </w:r>
    </w:p>
    <w:p>
      <w:pPr>
        <w:spacing w:line="560" w:lineRule="exact"/>
        <w:jc w:val="center"/>
        <w:rPr>
          <w:rFonts w:ascii="方正小标宋_GBK" w:eastAsia="方正小标宋_GBK"/>
          <w:spacing w:val="-6"/>
          <w:sz w:val="44"/>
          <w:szCs w:val="44"/>
        </w:rPr>
      </w:pPr>
    </w:p>
    <w:p>
      <w:pPr>
        <w:pStyle w:val="21"/>
        <w:autoSpaceDN w:val="0"/>
        <w:spacing w:line="560" w:lineRule="exact"/>
        <w:jc w:val="center"/>
        <w:rPr>
          <w:rFonts w:ascii="方正小标宋_GBK" w:eastAsia="方正小标宋_GBK"/>
          <w:bCs/>
          <w:spacing w:val="-6"/>
          <w:sz w:val="44"/>
          <w:szCs w:val="44"/>
        </w:rPr>
      </w:pPr>
      <w:r>
        <w:rPr>
          <w:rFonts w:ascii="方正小标宋_GBK" w:eastAsia="方正小标宋_GBK" w:hint="eastAsia"/>
          <w:bCs/>
          <w:spacing w:val="-6"/>
          <w:sz w:val="44"/>
          <w:szCs w:val="44"/>
        </w:rPr>
        <w:t>海关总署关于对免予办理强制性产品认证的进口汽车零部件试点实施“先声明后验证”便利化措施的公告</w:t>
      </w:r>
    </w:p>
    <w:p>
      <w:pPr>
        <w:pStyle w:val="21"/>
        <w:autoSpaceDN w:val="0"/>
        <w:spacing w:line="560" w:lineRule="exact"/>
        <w:jc w:val="center"/>
      </w:pPr>
      <w:r>
        <w:rPr>
          <w:rFonts w:ascii="方正小标宋_GBK" w:eastAsia="方正小标宋_GBK" w:hint="eastAsia"/>
          <w:bCs/>
          <w:spacing w:val="-6"/>
          <w:sz w:val="32"/>
          <w:szCs w:val="32"/>
        </w:rPr>
        <w:t>（公告〔2019〕87 号）</w:t>
      </w:r>
    </w:p>
    <w:p>
      <w:pPr>
        <w:spacing w:line="560" w:lineRule="exact"/>
        <w:jc w:val="center"/>
        <w:rPr>
          <w:rFonts w:ascii="方正小标宋_GBK" w:eastAsia="方正小标宋_GBK"/>
          <w:spacing w:val="-6"/>
          <w:sz w:val="36"/>
          <w:szCs w:val="36"/>
        </w:rPr>
      </w:pPr>
    </w:p>
    <w:p>
      <w:pPr>
        <w:spacing w:line="560" w:lineRule="exact"/>
        <w:jc w:val="center"/>
        <w:rPr>
          <w:rFonts w:ascii="方正小标宋_GBK" w:eastAsia="方正小标宋_GBK"/>
          <w:spacing w:val="-6"/>
          <w:sz w:val="32"/>
          <w:szCs w:val="32"/>
        </w:rPr>
      </w:pPr>
      <w:r>
        <w:rPr>
          <w:rFonts w:ascii="方正小标宋_GBK" w:eastAsia="方正小标宋_GBK" w:hint="eastAsia"/>
          <w:spacing w:val="-6"/>
          <w:sz w:val="32"/>
          <w:szCs w:val="32"/>
        </w:rPr>
        <w:t>涉及免予办理强制性产品认证的进口汽车零部件HS编码范围</w:t>
      </w:r>
    </w:p>
    <w:tbl>
      <w:tblPr>
        <w:jc w:val="left"/>
        <w:tblInd w:w="96" w:type="dxa"/>
        <w:tblW w:w="894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21"/>
        <w:gridCol w:w="1559"/>
        <w:gridCol w:w="5385"/>
        <w:gridCol w:w="1278"/>
      </w:tblGrid>
      <w:tr>
        <w:trPr>
          <w:trHeight w:val="312"/>
        </w:trPr>
        <w:tc>
          <w:tcPr>
            <w:tcW w:w="721"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400" w:lineRule="exact"/>
              <w:jc w:val="center"/>
              <w:rPr>
                <w:rFonts w:ascii="方正黑体_GBK" w:eastAsia="方正黑体_GBK" w:cs="Arial"/>
                <w:sz w:val="24"/>
              </w:rPr>
            </w:pPr>
            <w:r>
              <w:rPr>
                <w:rFonts w:ascii="方正黑体_GBK" w:eastAsia="方正黑体_GBK" w:cs="Arial" w:hint="eastAsia"/>
                <w:sz w:val="24"/>
              </w:rPr>
              <w:t>序号</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jc w:val="center"/>
              <w:rPr>
                <w:rFonts w:ascii="方正黑体_GBK" w:eastAsia="方正黑体_GBK" w:cs="Arial"/>
                <w:sz w:val="24"/>
              </w:rPr>
            </w:pPr>
            <w:r>
              <w:rPr>
                <w:rFonts w:eastAsia="方正黑体_GBK"/>
                <w:sz w:val="24"/>
              </w:rPr>
              <w:t>HS</w:t>
            </w:r>
            <w:r>
              <w:rPr>
                <w:rFonts w:ascii="方正黑体_GBK" w:eastAsia="方正黑体_GBK" w:cs="Arial" w:hint="eastAsia"/>
                <w:sz w:val="24"/>
              </w:rPr>
              <w:t>编码</w:t>
            </w:r>
          </w:p>
        </w:tc>
        <w:tc>
          <w:tcPr>
            <w:tcW w:w="5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spacing w:line="400" w:lineRule="exact"/>
              <w:jc w:val="center"/>
              <w:rPr>
                <w:rFonts w:ascii="方正黑体_GBK" w:eastAsia="方正黑体_GBK"/>
                <w:sz w:val="24"/>
              </w:rPr>
            </w:pPr>
            <w:r>
              <w:rPr>
                <w:rFonts w:eastAsia="方正黑体_GBK"/>
                <w:sz w:val="24"/>
              </w:rPr>
              <w:t>HS</w:t>
            </w:r>
            <w:r>
              <w:rPr>
                <w:rFonts w:ascii="方正黑体_GBK" w:eastAsia="方正黑体_GBK" w:hint="eastAsia"/>
                <w:sz w:val="24"/>
              </w:rPr>
              <w:t>编码名称</w:t>
            </w:r>
          </w:p>
        </w:tc>
        <w:tc>
          <w:tcPr>
            <w:tcW w:w="1278"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spacing w:line="400" w:lineRule="exact"/>
              <w:jc w:val="center"/>
              <w:rPr>
                <w:rFonts w:ascii="方正黑体_GBK" w:eastAsia="方正黑体_GBK" w:cs="Arial"/>
                <w:sz w:val="24"/>
              </w:rPr>
            </w:pPr>
            <w:r>
              <w:rPr>
                <w:rFonts w:ascii="方正黑体_GBK" w:eastAsia="方正黑体_GBK" w:cs="Arial" w:hint="eastAsia"/>
                <w:sz w:val="24"/>
              </w:rPr>
              <w:t>检验检疫监管代码</w:t>
            </w:r>
          </w:p>
        </w:tc>
      </w:tr>
      <w:tr>
        <w:trPr>
          <w:trHeight w:val="312"/>
        </w:trPr>
        <w:tc>
          <w:tcPr>
            <w:tcW w:w="721"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8708210000</w:t>
            </w:r>
          </w:p>
        </w:tc>
        <w:tc>
          <w:tcPr>
            <w:tcW w:w="5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坐椅安全带</w:t>
            </w:r>
            <w:r>
              <w:rPr>
                <w:rFonts w:ascii="方正仿宋_GBK" w:eastAsia="方正仿宋_GBK" w:cs="Arial" w:hint="eastAsia"/>
                <w:sz w:val="24"/>
              </w:rPr>
              <w:t>(</w:t>
            </w:r>
            <w:r>
              <w:rPr>
                <w:rFonts w:ascii="方正仿宋_GBK" w:eastAsia="方正仿宋_GBK" w:hint="eastAsia"/>
                <w:sz w:val="24"/>
              </w:rPr>
              <w:t>品目</w:t>
            </w:r>
            <w:r>
              <w:rPr>
                <w:rFonts w:eastAsia="方正仿宋_GBK"/>
                <w:sz w:val="24"/>
              </w:rPr>
              <w:t>8701</w:t>
            </w:r>
            <w:r>
              <w:rPr>
                <w:rFonts w:ascii="方正仿宋_GBK" w:eastAsia="方正仿宋_GBK" w:hint="eastAsia"/>
                <w:sz w:val="24"/>
              </w:rPr>
              <w:t>至</w:t>
            </w:r>
            <w:r>
              <w:rPr>
                <w:rFonts w:eastAsia="方正仿宋_GBK"/>
                <w:sz w:val="24"/>
              </w:rPr>
              <w:t>8705</w:t>
            </w:r>
            <w:r>
              <w:rPr>
                <w:rFonts w:ascii="方正仿宋_GBK" w:eastAsia="方正仿宋_GBK" w:hint="eastAsia"/>
                <w:sz w:val="24"/>
              </w:rPr>
              <w:t>的车辆用</w:t>
            </w:r>
            <w:r>
              <w:rPr>
                <w:rFonts w:ascii="方正仿宋_GBK" w:eastAsia="方正仿宋_GBK" w:cs="Arial" w:hint="eastAsia"/>
                <w:sz w:val="24"/>
              </w:rPr>
              <w:t>)</w:t>
            </w:r>
          </w:p>
        </w:tc>
        <w:tc>
          <w:tcPr>
            <w:tcW w:w="1278"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L.M/</w:t>
            </w:r>
          </w:p>
        </w:tc>
      </w:tr>
      <w:tr>
        <w:trPr>
          <w:trHeight w:val="312"/>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2</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8708294100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汽车电动天窗</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312"/>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3</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8708294200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汽车手动天窗</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312"/>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4</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8708299000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其他车身未列名零部件</w:t>
            </w:r>
            <w:r>
              <w:rPr>
                <w:rFonts w:ascii="方正仿宋_GBK" w:eastAsia="方正仿宋_GBK" w:cs="Arial" w:hint="eastAsia"/>
                <w:sz w:val="24"/>
              </w:rPr>
              <w:t>(</w:t>
            </w:r>
            <w:r>
              <w:rPr>
                <w:rFonts w:ascii="方正仿宋_GBK" w:eastAsia="方正仿宋_GBK" w:hint="eastAsia"/>
                <w:sz w:val="24"/>
              </w:rPr>
              <w:t>包括驾驶室的零件、附件</w:t>
            </w:r>
            <w:r>
              <w:rPr>
                <w:rFonts w:ascii="方正仿宋_GBK" w:eastAsia="方正仿宋_GBK" w:cs="Arial" w:hint="eastAsia"/>
                <w:sz w:val="24"/>
              </w:rPr>
              <w:t>)</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312"/>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5</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8708309100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牵引车、拖拉机用制动器及其零件</w:t>
            </w:r>
            <w:r>
              <w:rPr>
                <w:rFonts w:ascii="方正仿宋_GBK" w:eastAsia="方正仿宋_GBK" w:cs="Arial" w:hint="eastAsia"/>
                <w:sz w:val="24"/>
              </w:rPr>
              <w:t>(</w:t>
            </w:r>
            <w:r>
              <w:rPr>
                <w:rFonts w:ascii="方正仿宋_GBK" w:eastAsia="方正仿宋_GBK" w:hint="eastAsia"/>
                <w:sz w:val="24"/>
              </w:rPr>
              <w:t>包括助力制动器及其零件</w:t>
            </w:r>
            <w:r>
              <w:rPr>
                <w:rFonts w:ascii="方正仿宋_GBK" w:eastAsia="方正仿宋_GBK" w:cs="Arial" w:hint="eastAsia"/>
                <w:sz w:val="24"/>
              </w:rPr>
              <w:t>)</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312"/>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6</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8708309200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大型客车用制动器及其零件</w:t>
            </w:r>
            <w:r>
              <w:rPr>
                <w:rFonts w:ascii="方正仿宋_GBK" w:eastAsia="方正仿宋_GBK" w:cs="Arial" w:hint="eastAsia"/>
                <w:sz w:val="24"/>
              </w:rPr>
              <w:t>(</w:t>
            </w:r>
            <w:r>
              <w:rPr>
                <w:rFonts w:ascii="方正仿宋_GBK" w:eastAsia="方正仿宋_GBK" w:hint="eastAsia"/>
                <w:sz w:val="24"/>
              </w:rPr>
              <w:t>包括助力制动器及其零件</w:t>
            </w:r>
            <w:r>
              <w:rPr>
                <w:rFonts w:ascii="方正仿宋_GBK" w:eastAsia="方正仿宋_GBK" w:cs="Arial" w:hint="eastAsia"/>
                <w:sz w:val="24"/>
              </w:rPr>
              <w:t>)</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576"/>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7</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8708309400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柴、汽油轻型货车用制动器及零件</w:t>
            </w:r>
            <w:r>
              <w:rPr>
                <w:rFonts w:ascii="方正仿宋_GBK" w:eastAsia="方正仿宋_GBK" w:cs="Arial" w:hint="eastAsia"/>
                <w:sz w:val="24"/>
              </w:rPr>
              <w:t>(</w:t>
            </w:r>
            <w:r>
              <w:rPr>
                <w:rFonts w:ascii="方正仿宋_GBK" w:eastAsia="方正仿宋_GBK" w:hint="eastAsia"/>
                <w:sz w:val="24"/>
              </w:rPr>
              <w:t>指编号</w:t>
            </w:r>
            <w:r>
              <w:rPr>
                <w:rFonts w:eastAsia="方正仿宋_GBK"/>
                <w:sz w:val="24"/>
              </w:rPr>
              <w:t>87042100</w:t>
            </w:r>
            <w:r>
              <w:rPr>
                <w:rFonts w:ascii="方正仿宋_GBK" w:eastAsia="方正仿宋_GBK" w:hint="eastAsia"/>
                <w:sz w:val="24"/>
              </w:rPr>
              <w:t>，</w:t>
            </w:r>
            <w:r>
              <w:rPr>
                <w:rFonts w:eastAsia="方正仿宋_GBK"/>
                <w:sz w:val="24"/>
              </w:rPr>
              <w:t>87042230</w:t>
            </w:r>
            <w:r>
              <w:rPr>
                <w:rFonts w:ascii="方正仿宋_GBK" w:eastAsia="方正仿宋_GBK" w:hint="eastAsia"/>
                <w:sz w:val="24"/>
              </w:rPr>
              <w:t>，</w:t>
            </w:r>
            <w:r>
              <w:rPr>
                <w:rFonts w:eastAsia="方正仿宋_GBK"/>
                <w:sz w:val="24"/>
              </w:rPr>
              <w:t>87043100</w:t>
            </w:r>
            <w:r>
              <w:rPr>
                <w:rFonts w:ascii="方正仿宋_GBK" w:eastAsia="方正仿宋_GBK" w:hint="eastAsia"/>
                <w:sz w:val="24"/>
              </w:rPr>
              <w:t>，</w:t>
            </w:r>
            <w:r>
              <w:rPr>
                <w:rFonts w:eastAsia="方正仿宋_GBK"/>
                <w:sz w:val="24"/>
              </w:rPr>
              <w:t>87043230</w:t>
            </w:r>
            <w:r>
              <w:rPr>
                <w:rFonts w:ascii="方正仿宋_GBK" w:eastAsia="方正仿宋_GBK" w:hint="eastAsia"/>
                <w:sz w:val="24"/>
              </w:rPr>
              <w:t>所列总重量≤</w:t>
            </w:r>
            <w:r>
              <w:rPr>
                <w:rFonts w:eastAsia="方正仿宋_GBK"/>
                <w:sz w:val="24"/>
              </w:rPr>
              <w:t>14</w:t>
            </w:r>
            <w:r>
              <w:rPr>
                <w:rFonts w:ascii="方正仿宋_GBK" w:eastAsia="方正仿宋_GBK" w:hint="eastAsia"/>
                <w:sz w:val="24"/>
              </w:rPr>
              <w:t>吨车辆用</w:t>
            </w:r>
            <w:r>
              <w:rPr>
                <w:rFonts w:ascii="方正仿宋_GBK" w:eastAsia="方正仿宋_GBK" w:cs="Arial" w:hint="eastAsia"/>
                <w:sz w:val="24"/>
              </w:rPr>
              <w:t>)</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312"/>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8</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8708309500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柴、汽油型重型货车用制动器及其零件</w:t>
            </w:r>
            <w:r>
              <w:rPr>
                <w:rFonts w:ascii="方正仿宋_GBK" w:eastAsia="方正仿宋_GBK" w:cs="Arial" w:hint="eastAsia"/>
                <w:sz w:val="24"/>
              </w:rPr>
              <w:t>(</w:t>
            </w:r>
            <w:r>
              <w:rPr>
                <w:rFonts w:ascii="方正仿宋_GBK" w:eastAsia="方正仿宋_GBK" w:hint="eastAsia"/>
                <w:sz w:val="24"/>
              </w:rPr>
              <w:t>指编号</w:t>
            </w:r>
            <w:r>
              <w:rPr>
                <w:rFonts w:eastAsia="方正仿宋_GBK"/>
                <w:sz w:val="24"/>
              </w:rPr>
              <w:t>87042240</w:t>
            </w:r>
            <w:r>
              <w:rPr>
                <w:rFonts w:ascii="方正仿宋_GBK" w:eastAsia="方正仿宋_GBK" w:hint="eastAsia"/>
                <w:sz w:val="24"/>
              </w:rPr>
              <w:t>，</w:t>
            </w:r>
            <w:r>
              <w:rPr>
                <w:rFonts w:eastAsia="方正仿宋_GBK"/>
                <w:sz w:val="24"/>
              </w:rPr>
              <w:t>87042300</w:t>
            </w:r>
            <w:r>
              <w:rPr>
                <w:rFonts w:ascii="方正仿宋_GBK" w:eastAsia="方正仿宋_GBK" w:hint="eastAsia"/>
                <w:sz w:val="24"/>
              </w:rPr>
              <w:t>及</w:t>
            </w:r>
            <w:r>
              <w:rPr>
                <w:rFonts w:eastAsia="方正仿宋_GBK"/>
                <w:sz w:val="24"/>
              </w:rPr>
              <w:t>87043240</w:t>
            </w:r>
            <w:r>
              <w:rPr>
                <w:rFonts w:ascii="方正仿宋_GBK" w:eastAsia="方正仿宋_GBK" w:hint="eastAsia"/>
                <w:sz w:val="24"/>
              </w:rPr>
              <w:t>所列车辆用</w:t>
            </w:r>
            <w:r>
              <w:rPr>
                <w:rFonts w:ascii="方正仿宋_GBK" w:eastAsia="方正仿宋_GBK" w:cs="Arial" w:hint="eastAsia"/>
                <w:sz w:val="24"/>
              </w:rPr>
              <w:t>)</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312"/>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9</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8708309600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特种车用制动器及其零件</w:t>
            </w:r>
            <w:r>
              <w:rPr>
                <w:rFonts w:ascii="方正仿宋_GBK" w:eastAsia="方正仿宋_GBK" w:cs="Arial" w:hint="eastAsia"/>
                <w:sz w:val="24"/>
              </w:rPr>
              <w:t>(</w:t>
            </w:r>
            <w:r>
              <w:rPr>
                <w:rFonts w:ascii="方正仿宋_GBK" w:eastAsia="方正仿宋_GBK" w:hint="eastAsia"/>
                <w:sz w:val="24"/>
              </w:rPr>
              <w:t>指品目</w:t>
            </w:r>
            <w:r>
              <w:rPr>
                <w:rFonts w:eastAsia="方正仿宋_GBK"/>
                <w:sz w:val="24"/>
              </w:rPr>
              <w:t>8705</w:t>
            </w:r>
            <w:r>
              <w:rPr>
                <w:rFonts w:ascii="方正仿宋_GBK" w:eastAsia="方正仿宋_GBK" w:hint="eastAsia"/>
                <w:sz w:val="24"/>
              </w:rPr>
              <w:t>所列车辆用，包括助动器及零件</w:t>
            </w:r>
            <w:r>
              <w:rPr>
                <w:rFonts w:ascii="方正仿宋_GBK" w:eastAsia="方正仿宋_GBK" w:cs="Arial" w:hint="eastAsia"/>
                <w:sz w:val="24"/>
              </w:rPr>
              <w:t>)</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312"/>
        </w:trPr>
        <w:tc>
          <w:tcPr>
            <w:tcW w:w="721" w:type="dxa"/>
            <w:tcBorders>
              <w:top w:val="nil"/>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10</w:t>
            </w:r>
          </w:p>
        </w:tc>
        <w:tc>
          <w:tcPr>
            <w:tcW w:w="1559" w:type="dxa"/>
            <w:tcBorders>
              <w:top w:val="nil"/>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8708309990</w:t>
            </w:r>
          </w:p>
        </w:tc>
        <w:tc>
          <w:tcPr>
            <w:tcW w:w="5385"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其他机动车辆用制动器</w:t>
            </w:r>
            <w:r>
              <w:rPr>
                <w:rFonts w:ascii="方正仿宋_GBK" w:eastAsia="方正仿宋_GBK" w:cs="Arial" w:hint="eastAsia"/>
                <w:sz w:val="24"/>
              </w:rPr>
              <w:t>(</w:t>
            </w:r>
            <w:r>
              <w:rPr>
                <w:rFonts w:ascii="方正仿宋_GBK" w:eastAsia="方正仿宋_GBK" w:hint="eastAsia"/>
                <w:sz w:val="24"/>
              </w:rPr>
              <w:t>包括助力制动器</w:t>
            </w:r>
            <w:r>
              <w:rPr>
                <w:rFonts w:ascii="方正仿宋_GBK" w:eastAsia="方正仿宋_GBK" w:cs="Arial" w:hint="eastAsia"/>
                <w:sz w:val="24"/>
              </w:rPr>
              <w:t>)</w:t>
            </w:r>
            <w:r>
              <w:rPr>
                <w:rFonts w:ascii="方正仿宋_GBK" w:eastAsia="方正仿宋_GBK" w:hint="eastAsia"/>
                <w:sz w:val="24"/>
              </w:rPr>
              <w:t>的零件</w:t>
            </w:r>
          </w:p>
        </w:tc>
        <w:tc>
          <w:tcPr>
            <w:tcW w:w="1278" w:type="dxa"/>
            <w:tcBorders>
              <w:top w:val="nil"/>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r>
        <w:trPr>
          <w:trHeight w:val="70"/>
        </w:trPr>
        <w:tc>
          <w:tcPr>
            <w:tcW w:w="721"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400" w:lineRule="exact"/>
              <w:jc w:val="center"/>
              <w:rPr>
                <w:rFonts w:eastAsia="方正仿宋_GBK"/>
                <w:sz w:val="24"/>
              </w:rPr>
            </w:pPr>
            <w:r>
              <w:rPr>
                <w:rFonts w:eastAsia="方正仿宋_GBK"/>
                <w:sz w:val="24"/>
              </w:rPr>
              <w:t>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8708995900</w:t>
            </w:r>
          </w:p>
        </w:tc>
        <w:tc>
          <w:tcPr>
            <w:tcW w:w="5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spacing w:line="400" w:lineRule="exact"/>
              <w:rPr>
                <w:rFonts w:ascii="方正仿宋_GBK" w:eastAsia="方正仿宋_GBK" w:cs="宋体"/>
                <w:sz w:val="24"/>
              </w:rPr>
            </w:pPr>
            <w:r>
              <w:rPr>
                <w:rFonts w:ascii="方正仿宋_GBK" w:eastAsia="方正仿宋_GBK" w:hint="eastAsia"/>
                <w:sz w:val="24"/>
              </w:rPr>
              <w:t>总重≥</w:t>
            </w:r>
            <w:r>
              <w:rPr>
                <w:rFonts w:eastAsia="方正仿宋_GBK"/>
                <w:sz w:val="24"/>
              </w:rPr>
              <w:t>14</w:t>
            </w:r>
            <w:r>
              <w:rPr>
                <w:rFonts w:ascii="方正仿宋_GBK" w:eastAsia="方正仿宋_GBK" w:hint="eastAsia"/>
                <w:sz w:val="24"/>
              </w:rPr>
              <w:t>吨柴油货车用其他零部件</w:t>
            </w:r>
            <w:r>
              <w:rPr>
                <w:rFonts w:ascii="方正仿宋_GBK" w:eastAsia="方正仿宋_GBK" w:cs="Arial" w:hint="eastAsia"/>
                <w:sz w:val="24"/>
              </w:rPr>
              <w:t>(</w:t>
            </w:r>
            <w:r>
              <w:rPr>
                <w:rFonts w:ascii="方正仿宋_GBK" w:eastAsia="方正仿宋_GBK" w:hint="eastAsia"/>
                <w:sz w:val="24"/>
              </w:rPr>
              <w:t>指</w:t>
            </w:r>
            <w:r>
              <w:rPr>
                <w:rFonts w:eastAsia="方正仿宋_GBK"/>
                <w:sz w:val="24"/>
              </w:rPr>
              <w:t>87042240</w:t>
            </w:r>
            <w:r>
              <w:rPr>
                <w:rFonts w:ascii="方正仿宋_GBK" w:eastAsia="方正仿宋_GBK" w:hint="eastAsia"/>
                <w:sz w:val="24"/>
              </w:rPr>
              <w:t>，</w:t>
            </w:r>
            <w:r>
              <w:rPr>
                <w:rFonts w:eastAsia="方正仿宋_GBK"/>
                <w:sz w:val="24"/>
              </w:rPr>
              <w:t>2300</w:t>
            </w:r>
            <w:r>
              <w:rPr>
                <w:rFonts w:ascii="方正仿宋_GBK" w:eastAsia="方正仿宋_GBK" w:hint="eastAsia"/>
                <w:sz w:val="24"/>
              </w:rPr>
              <w:t>，</w:t>
            </w:r>
            <w:r>
              <w:rPr>
                <w:rFonts w:eastAsia="方正仿宋_GBK"/>
                <w:sz w:val="24"/>
              </w:rPr>
              <w:t>3240</w:t>
            </w:r>
            <w:r>
              <w:rPr>
                <w:rFonts w:ascii="方正仿宋_GBK" w:eastAsia="方正仿宋_GBK" w:hint="eastAsia"/>
                <w:sz w:val="24"/>
              </w:rPr>
              <w:t>所列车辆用，含总重</w:t>
            </w:r>
            <w:r>
              <w:rPr>
                <w:rFonts w:ascii="方正仿宋_GBK" w:eastAsia="方正仿宋_GBK" w:cs="Arial" w:hint="eastAsia"/>
                <w:sz w:val="24"/>
              </w:rPr>
              <w:t>&gt;</w:t>
            </w:r>
            <w:r>
              <w:rPr>
                <w:rFonts w:eastAsia="方正仿宋_GBK"/>
                <w:sz w:val="24"/>
              </w:rPr>
              <w:t>8</w:t>
            </w:r>
            <w:r>
              <w:rPr>
                <w:rFonts w:ascii="方正仿宋_GBK" w:eastAsia="方正仿宋_GBK" w:hint="eastAsia"/>
                <w:sz w:val="24"/>
              </w:rPr>
              <w:t>吨汽油货车</w:t>
            </w:r>
            <w:r>
              <w:rPr>
                <w:rFonts w:ascii="方正仿宋_GBK" w:eastAsia="方正仿宋_GBK" w:cs="Arial" w:hint="eastAsia"/>
                <w:sz w:val="24"/>
              </w:rPr>
              <w:t>)</w:t>
            </w:r>
          </w:p>
        </w:tc>
        <w:tc>
          <w:tcPr>
            <w:tcW w:w="1278"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spacing w:line="400" w:lineRule="exact"/>
              <w:rPr>
                <w:rFonts w:eastAsia="方正仿宋_GBK"/>
                <w:sz w:val="24"/>
              </w:rPr>
            </w:pPr>
            <w:r>
              <w:rPr>
                <w:rFonts w:eastAsia="方正仿宋_GBK"/>
                <w:sz w:val="24"/>
              </w:rPr>
              <w:t>L/</w:t>
            </w:r>
          </w:p>
        </w:tc>
      </w:tr>
    </w:tbl>
    <w:p>
      <w:pPr>
        <w:spacing w:line="560" w:lineRule="exact"/>
        <w:rPr>
          <w:rFonts w:ascii="方正小标宋_GBK" w:eastAsia="方正小标宋_GBK"/>
          <w:sz w:val="44"/>
          <w:szCs w:val="44"/>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r>
        <w:rPr>
          <w:rFonts w:ascii="方正黑体_GBK" w:eastAsia="方正黑体_GBK" w:hint="eastAsia"/>
          <w:spacing w:val="-4"/>
          <w:sz w:val="32"/>
          <w:szCs w:val="32"/>
        </w:rPr>
        <w:t>附</w:t>
      </w:r>
      <w:r>
        <w:rPr>
          <w:rFonts w:ascii="方正黑体_GBK" w:eastAsia="方正黑体_GBK"/>
          <w:spacing w:val="-4"/>
          <w:sz w:val="32"/>
          <w:szCs w:val="32"/>
        </w:rPr>
        <w:t>表8</w:t>
      </w:r>
    </w:p>
    <w:p>
      <w:pPr>
        <w:spacing w:line="560" w:lineRule="exact"/>
        <w:rPr>
          <w:rFonts w:ascii="方正黑体_GBK" w:eastAsia="方正黑体_GBK"/>
          <w:spacing w:val="-4"/>
          <w:sz w:val="32"/>
          <w:szCs w:val="32"/>
        </w:rPr>
      </w:pPr>
    </w:p>
    <w:p>
      <w:pPr>
        <w:spacing w:line="560" w:lineRule="exact"/>
        <w:jc w:val="center"/>
        <w:rPr>
          <w:rFonts w:ascii="方正小标宋_GBK" w:eastAsia="方正小标宋_GBK" w:hint="eastAsia"/>
          <w:spacing w:val="-4"/>
          <w:sz w:val="44"/>
          <w:szCs w:val="44"/>
        </w:rPr>
      </w:pPr>
      <w:r>
        <w:rPr>
          <w:rFonts w:ascii="方正小标宋_GBK" w:eastAsia="方正小标宋_GBK" w:hint="eastAsia"/>
          <w:spacing w:val="-4"/>
          <w:sz w:val="44"/>
          <w:szCs w:val="44"/>
        </w:rPr>
        <w:t>“十四五”期间中国－东北亚博览会享受</w:t>
      </w:r>
    </w:p>
    <w:p>
      <w:pPr>
        <w:spacing w:line="560" w:lineRule="exact"/>
        <w:jc w:val="center"/>
        <w:rPr>
          <w:rFonts w:ascii="方正小标宋_GBK" w:eastAsia="方正小标宋_GBK" w:hint="eastAsia"/>
          <w:spacing w:val="-4"/>
          <w:sz w:val="44"/>
          <w:szCs w:val="44"/>
        </w:rPr>
      </w:pPr>
      <w:r>
        <w:rPr>
          <w:rFonts w:ascii="方正小标宋_GBK" w:eastAsia="方正小标宋_GBK" w:hint="eastAsia"/>
          <w:spacing w:val="-4"/>
          <w:sz w:val="44"/>
          <w:szCs w:val="44"/>
        </w:rPr>
        <w:t>税收优惠政策的展品清单</w:t>
      </w:r>
    </w:p>
    <w:p>
      <w:pPr>
        <w:spacing w:line="560" w:lineRule="exact"/>
        <w:jc w:val="center"/>
        <w:rPr>
          <w:rFonts w:ascii="方正黑体_GBK" w:eastAsia="方正黑体_GBK"/>
          <w:spacing w:val="-4"/>
          <w:sz w:val="44"/>
          <w:szCs w:val="44"/>
        </w:rPr>
      </w:pPr>
    </w:p>
    <w:tbl>
      <w:tblPr>
        <w:jc w:val="left"/>
        <w:tblInd w:w="-252" w:type="dxa"/>
        <w:tblW w:w="900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Pr>
      <w:tblGrid>
        <w:gridCol w:w="1080"/>
        <w:gridCol w:w="5400"/>
        <w:gridCol w:w="2520"/>
      </w:tblGrid>
      <w:tr>
        <w:tc>
          <w:tcPr>
            <w:tcW w:w="108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黑体" w:eastAsia="黑体"/>
                <w:sz w:val="32"/>
                <w:szCs w:val="32"/>
              </w:rPr>
            </w:pPr>
            <w:r>
              <w:rPr>
                <w:rFonts w:ascii="黑体" w:eastAsia="黑体" w:hint="eastAsia"/>
                <w:sz w:val="32"/>
                <w:szCs w:val="32"/>
              </w:rPr>
              <w:t>序号</w:t>
            </w:r>
          </w:p>
        </w:tc>
        <w:tc>
          <w:tcPr>
            <w:tcW w:w="540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黑体" w:eastAsia="黑体"/>
                <w:sz w:val="32"/>
                <w:szCs w:val="32"/>
              </w:rPr>
            </w:pPr>
            <w:r>
              <w:rPr>
                <w:rFonts w:ascii="黑体" w:eastAsia="黑体" w:hint="eastAsia"/>
                <w:sz w:val="32"/>
                <w:szCs w:val="32"/>
              </w:rPr>
              <w:t>类别</w:t>
            </w:r>
          </w:p>
        </w:tc>
        <w:tc>
          <w:tcPr>
            <w:tcW w:w="252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黑体" w:eastAsia="黑体"/>
                <w:sz w:val="32"/>
                <w:szCs w:val="32"/>
              </w:rPr>
            </w:pPr>
            <w:r>
              <w:rPr>
                <w:rFonts w:ascii="黑体" w:eastAsia="黑体" w:hint="eastAsia"/>
                <w:sz w:val="32"/>
                <w:szCs w:val="32"/>
              </w:rPr>
              <w:t>每个展商享受税收优惠政策的金额上限</w:t>
            </w: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动物、植物及动植物制品</w:t>
            </w:r>
          </w:p>
        </w:tc>
        <w:tc>
          <w:tcPr>
            <w:tcW w:w="2520" w:type="dxa"/>
            <w:vMerge w:val="restart"/>
            <w:tcBorders>
              <w:top w:val="single" w:sz="4" w:space="0" w:color="auto"/>
              <w:left w:val="single" w:sz="4" w:space="0" w:color="auto"/>
              <w:bottom w:val="single" w:sz="4" w:space="0" w:color="auto"/>
              <w:right w:val="single" w:sz="4" w:space="0" w:color="auto"/>
            </w:tcBorders>
            <w:vAlign w:val="center"/>
          </w:tcPr>
          <w:p>
            <w:pPr>
              <w:pStyle w:val="42"/>
              <w:spacing w:line="560" w:lineRule="exact"/>
              <w:rPr>
                <w:rFonts w:ascii="方正仿宋_GBK" w:eastAsia="方正仿宋_GBK"/>
                <w:sz w:val="32"/>
                <w:szCs w:val="32"/>
              </w:rPr>
            </w:pPr>
            <w:r>
              <w:rPr>
                <w:rFonts w:ascii="方正仿宋_GBK" w:eastAsia="方正仿宋_GBK"/>
                <w:sz w:val="32"/>
                <w:szCs w:val="32"/>
              </w:rPr>
              <w:t>每个展商</w:t>
            </w:r>
            <w:r>
              <w:rPr>
                <w:rFonts w:ascii="方正仿宋_GBK" w:eastAsia="方正仿宋_GBK" w:hint="eastAsia"/>
                <w:sz w:val="32"/>
                <w:szCs w:val="32"/>
              </w:rPr>
              <w:t>第1－</w:t>
            </w:r>
            <w:r>
              <w:rPr>
                <w:rFonts w:ascii="方正仿宋_GBK" w:eastAsia="方正仿宋_GBK"/>
                <w:sz w:val="32"/>
                <w:szCs w:val="32"/>
              </w:rPr>
              <w:t>2</w:t>
            </w:r>
            <w:r>
              <w:rPr>
                <w:rFonts w:ascii="方正仿宋_GBK" w:eastAsia="方正仿宋_GBK" w:hint="eastAsia"/>
                <w:sz w:val="32"/>
                <w:szCs w:val="32"/>
              </w:rPr>
              <w:t>0类</w:t>
            </w:r>
            <w:r>
              <w:rPr>
                <w:rFonts w:ascii="方正仿宋_GBK" w:eastAsia="方正仿宋_GBK"/>
                <w:sz w:val="32"/>
                <w:szCs w:val="32"/>
              </w:rPr>
              <w:t>展品免税销售总额</w:t>
            </w:r>
            <w:r>
              <w:rPr>
                <w:rFonts w:ascii="方正仿宋_GBK" w:eastAsia="方正仿宋_GBK" w:hint="eastAsia"/>
                <w:sz w:val="32"/>
                <w:szCs w:val="32"/>
              </w:rPr>
              <w:t>不超过200</w:t>
            </w:r>
            <w:r>
              <w:rPr>
                <w:rFonts w:ascii="方正仿宋_GBK" w:eastAsia="方正仿宋_GBK"/>
                <w:sz w:val="32"/>
                <w:szCs w:val="32"/>
              </w:rPr>
              <w:t>00</w:t>
            </w:r>
            <w:r>
              <w:rPr>
                <w:rFonts w:ascii="方正仿宋_GBK" w:eastAsia="方正仿宋_GBK" w:hint="eastAsia"/>
                <w:sz w:val="32"/>
                <w:szCs w:val="32"/>
              </w:rPr>
              <w:t>美元</w:t>
            </w:r>
          </w:p>
          <w:p>
            <w:pPr>
              <w:pStyle w:val="43"/>
              <w:spacing w:line="560" w:lineRule="exact"/>
              <w:rPr>
                <w:rFonts w:ascii="方正仿宋_GBK" w:eastAsia="方正仿宋_GBK"/>
                <w:sz w:val="32"/>
                <w:szCs w:val="32"/>
              </w:rPr>
            </w:p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2</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贱金属及金属制品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3</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塑料、橡胶及其制品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4</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纺织原料及纺织制品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5</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鞋、帽、伞等日用品及装饰品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6</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石料、玻璃及其制品、陶瓷制品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7</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玩具、游戏及运动用品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8</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工艺品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9</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化妆品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10</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医药品、保健品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11</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化学工业及相关工业的产品</w:t>
            </w:r>
          </w:p>
        </w:tc>
        <w:tc>
          <w:tcPr>
            <w:tcW w:w="2520" w:type="dxa"/>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12</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珠宝、首饰品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110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13</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机器、机械器具、电气设备及仪器、仪表</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14</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信息产品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15</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艺术品</w:t>
            </w:r>
          </w:p>
        </w:tc>
        <w:tc>
          <w:tcPr>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16</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木及木制品</w:t>
            </w:r>
          </w:p>
        </w:tc>
        <w:tc>
          <w:tcPr>
            <w:tcW w:w="2520" w:type="dxa"/>
            <w:vMerge/>
            <w:tcBorders>
              <w:top w:val="single" w:sz="4" w:space="0" w:color="auto"/>
              <w:left w:val="single" w:sz="4" w:space="0" w:color="auto"/>
              <w:bottom w:val="single" w:sz="4" w:space="0" w:color="auto"/>
              <w:right w:val="single" w:sz="4" w:space="0" w:color="auto"/>
            </w:tcBorders>
            <w:vAlign w:val="center"/>
          </w:tcPr>
          <w:p/>
        </w:tc>
      </w:tr>
      <w:tr>
        <w:trPr>
          <w:trHeight w:val="110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17</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生皮、皮革、皮毛及其制品；鞍具及挽具</w:t>
            </w:r>
          </w:p>
        </w:tc>
        <w:tc>
          <w:tcPr>
            <w:tcW w:w="2520" w:type="dxa"/>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18</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地毯</w:t>
            </w:r>
          </w:p>
        </w:tc>
        <w:tc>
          <w:tcPr>
            <w:tcW w:w="2520" w:type="dxa"/>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19</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古生物化石标本</w:t>
            </w:r>
          </w:p>
        </w:tc>
        <w:tc>
          <w:tcPr>
            <w:tcW w:w="2520" w:type="dxa"/>
            <w:vMerge/>
            <w:tcBorders>
              <w:top w:val="single" w:sz="4" w:space="0" w:color="auto"/>
              <w:left w:val="single" w:sz="4" w:space="0" w:color="auto"/>
              <w:bottom w:val="single" w:sz="4" w:space="0" w:color="auto"/>
              <w:right w:val="single" w:sz="4" w:space="0" w:color="auto"/>
            </w:tcBorders>
            <w:vAlign w:val="center"/>
          </w:tcPr>
          <w:p/>
        </w:tc>
      </w:tr>
      <w:tr>
        <w:trPr>
          <w:trHeight w:val="549"/>
        </w:trPr>
        <w:tc>
          <w:tcPr>
            <w:tcW w:w="1080" w:type="dxa"/>
            <w:tcBorders>
              <w:top w:val="single" w:sz="4" w:space="0" w:color="auto"/>
              <w:left w:val="single" w:sz="4" w:space="0" w:color="auto"/>
              <w:bottom w:val="single" w:sz="4" w:space="0" w:color="auto"/>
              <w:right w:val="single" w:sz="4" w:space="0" w:color="auto"/>
            </w:tcBorders>
          </w:tcPr>
          <w:p>
            <w:pPr>
              <w:spacing w:line="560" w:lineRule="exact"/>
              <w:jc w:val="center"/>
              <w:rPr>
                <w:rFonts w:eastAsia="方正仿宋_GBK"/>
                <w:sz w:val="32"/>
                <w:szCs w:val="32"/>
              </w:rPr>
            </w:pPr>
            <w:r>
              <w:rPr>
                <w:rFonts w:eastAsia="方正仿宋_GBK"/>
                <w:sz w:val="32"/>
                <w:szCs w:val="32"/>
              </w:rPr>
              <w:t>20</w:t>
            </w:r>
          </w:p>
        </w:tc>
        <w:tc>
          <w:tcPr>
            <w:tcW w:w="5400"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32"/>
                <w:szCs w:val="32"/>
              </w:rPr>
            </w:pPr>
            <w:r>
              <w:rPr>
                <w:rFonts w:eastAsia="方正仿宋_GBK"/>
                <w:sz w:val="32"/>
                <w:szCs w:val="32"/>
              </w:rPr>
              <w:t>矿物晶体标本</w:t>
            </w:r>
          </w:p>
        </w:tc>
        <w:tc>
          <w:tcPr>
            <w:tcW w:w="2520" w:type="dxa"/>
            <w:vMerge/>
            <w:tcBorders>
              <w:top w:val="single" w:sz="4" w:space="0" w:color="auto"/>
              <w:left w:val="single" w:sz="4" w:space="0" w:color="auto"/>
              <w:bottom w:val="single" w:sz="4" w:space="0" w:color="auto"/>
              <w:right w:val="single" w:sz="4" w:space="0" w:color="auto"/>
            </w:tcBorders>
            <w:vAlign w:val="center"/>
          </w:tcPr>
          <w:p/>
        </w:tc>
      </w:tr>
    </w:tbl>
    <w:p>
      <w:pPr>
        <w:spacing w:line="560" w:lineRule="exact"/>
        <w:ind w:firstLineChars="100" w:firstLine="320"/>
        <w:rPr>
          <w:rFonts w:eastAsia="方正仿宋_GBK"/>
          <w:sz w:val="32"/>
          <w:szCs w:val="32"/>
        </w:rPr>
      </w:pPr>
      <w:r>
        <w:rPr>
          <w:rFonts w:ascii="方正仿宋_GBK" w:eastAsia="方正仿宋_GBK" w:hint="eastAsia"/>
          <w:sz w:val="32"/>
          <w:szCs w:val="32"/>
        </w:rPr>
        <w:t>注：</w:t>
      </w:r>
      <w:r>
        <w:rPr>
          <w:rFonts w:eastAsia="方正仿宋_GBK"/>
          <w:sz w:val="32"/>
          <w:szCs w:val="32"/>
        </w:rPr>
        <w:t xml:space="preserve">1.第1类展品包括以动植物为原料的食品、饮料。 </w:t>
      </w:r>
    </w:p>
    <w:p>
      <w:pPr>
        <w:spacing w:line="560" w:lineRule="exact"/>
        <w:rPr>
          <w:rFonts w:ascii="方正仿宋_GBK" w:eastAsia="方正仿宋_GBK"/>
          <w:sz w:val="32"/>
          <w:szCs w:val="32"/>
        </w:rPr>
      </w:pPr>
      <w:r>
        <w:rPr>
          <w:rFonts w:eastAsia="方正仿宋_GBK"/>
          <w:sz w:val="32"/>
          <w:szCs w:val="32"/>
        </w:rPr>
        <w:t xml:space="preserve">      2.清单所列展品不包括国家禁止进口的商品，濒危动植物及其产品，烟、酒、</w:t>
      </w:r>
      <w:r>
        <w:rPr>
          <w:rFonts w:ascii="方正仿宋_GBK" w:eastAsia="方正仿宋_GBK"/>
          <w:sz w:val="32"/>
          <w:szCs w:val="32"/>
        </w:rPr>
        <w:t>汽车以及列入《进口不予免税的重大技术装备和产品目录》的商品。</w:t>
      </w:r>
    </w:p>
    <w:p>
      <w:pPr>
        <w:rPr>
          <w:rFonts w:ascii="方正仿宋_GBK" w:eastAsia="方正仿宋_GBK"/>
          <w:sz w:val="32"/>
          <w:szCs w:val="32"/>
        </w:rPr>
      </w:pPr>
    </w:p>
    <w:p>
      <w:pPr>
        <w:rPr>
          <w:rFonts w:ascii="方正仿宋_GBK" w:eastAsia="方正仿宋_GBK"/>
          <w:sz w:val="32"/>
          <w:szCs w:val="32"/>
        </w:rPr>
      </w:pPr>
    </w:p>
    <w:p>
      <w:pPr>
        <w:spacing w:line="560" w:lineRule="exact"/>
        <w:rPr>
          <w:rFonts w:ascii="方正黑体_GBK" w:eastAsia="方正黑体_GBK"/>
          <w:spacing w:val="-4"/>
          <w:sz w:val="32"/>
          <w:szCs w:val="32"/>
        </w:rPr>
      </w:pPr>
    </w:p>
    <w:p>
      <w:pPr>
        <w:spacing w:line="560" w:lineRule="exact"/>
        <w:rPr>
          <w:rFonts w:ascii="方正黑体_GBK" w:eastAsia="方正黑体_GBK"/>
          <w:spacing w:val="-4"/>
          <w:sz w:val="32"/>
          <w:szCs w:val="32"/>
        </w:rPr>
      </w:pPr>
    </w:p>
    <w:p/>
    <w:p>
      <w:pPr>
        <w:spacing w:line="560" w:lineRule="exact"/>
        <w:rPr>
          <w:rFonts w:ascii="方正黑体_GBK" w:eastAsia="方正黑体_GBK"/>
          <w:sz w:val="32"/>
          <w:szCs w:val="32"/>
        </w:rPr>
      </w:pPr>
    </w:p>
    <w:sectPr>
      <w:pgSz w:w="11907" w:h="16840"/>
      <w:pgMar w:top="1440" w:right="1797" w:bottom="1440" w:left="1797"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Courier New">
    <w:panose1 w:val="02070309020205020404"/>
    <w:charset w:val="00"/>
    <w:family w:val="modern"/>
    <w:pitch w:val="variable"/>
    <w:sig w:usb0="E0002AFF" w:usb1="C0007843" w:usb2="00000009" w:usb3="00000000" w:csb0="000001FF" w:csb1="00000000"/>
  </w:font>
  <w:font w:name="方正黑体简体">
    <w:altName w:val="Arial Unicode MS"/>
    <w:panose1 w:val="00000000000000000000"/>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等线 Light">
    <w:altName w:val="SimSun-ExtB"/>
    <w:panose1 w:val="00000000000000000000"/>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 xml:space="preserve"> PAGE   \* MERGEFORMAT </w:instrText>
    </w:r>
    <w:r>
      <w:fldChar w:fldCharType="separate"/>
    </w:r>
    <w:r>
      <w:rPr>
        <w:lang w:val="zh-CN"/>
      </w:rPr>
      <w:t>3</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Normal Indent"/>
    <w:basedOn w:val="0"/>
    <w:pPr>
      <w:ind w:firstLineChars="200" w:firstLine="200"/>
    </w:pPr>
  </w:style>
  <w:style w:type="paragraph" w:customStyle="1" w:styleId="18">
    <w:name w:val="列出段落1"/>
    <w:basedOn w:val="0"/>
    <w:pPr>
      <w:ind w:firstLineChars="200" w:firstLine="200"/>
    </w:pPr>
  </w:style>
  <w:style w:type="paragraph" w:customStyle="1" w:styleId="19">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0">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2">
    <w:name w:val="样式 3 10 磅"/>
    <w:next w:val="18"/>
    <w:pPr>
      <w:widowControl w:val="0"/>
      <w:jc w:val="both"/>
    </w:pPr>
    <w:rPr>
      <w:rFonts w:ascii="Times New Roman" w:eastAsia="宋体" w:cs="Times New Roman" w:hAnsi="Times New Roman"/>
      <w:kern w:val="2"/>
      <w:sz w:val="21"/>
      <w:szCs w:val="24"/>
      <w:lang w:val="en-US" w:eastAsia="zh-CN" w:bidi="ar-SA"/>
    </w:rPr>
  </w:style>
  <w:style w:type="paragraph" w:styleId="23">
    <w:name w:val="index 8"/>
    <w:basedOn w:val="0"/>
    <w:autoRedefine/>
    <w:next w:val="0"/>
    <w:pPr>
      <w:ind w:left="2940"/>
    </w:pPr>
  </w:style>
  <w:style w:type="character" w:styleId="24">
    <w:name w:val="Hyperlink"/>
    <w:rPr>
      <w:color w:val="3894C1"/>
      <w:u w:val="none"/>
    </w:rPr>
  </w:style>
  <w:style w:type="paragraph" w:customStyle="1" w:styleId="25">
    <w:name w:val="样式 24 10 磅"/>
    <w:next w:val="16"/>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5 10 磅"/>
    <w:next w:val="23"/>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8">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8 10 磅"/>
    <w:next w:val="35"/>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9 10 磅"/>
    <w:next w:val="36"/>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11 10 磅"/>
    <w:next w:val="37"/>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19 10 磅"/>
    <w:next w:val="39"/>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12 10 磅"/>
    <w:next w:val="38"/>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3 10 磅"/>
    <w:next w:val="40"/>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4 10 磅"/>
    <w:next w:val="41"/>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41">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5 小四"/>
    <w:next w:val="50"/>
    <w:pPr>
      <w:widowControl w:val="0"/>
    </w:pPr>
    <w:rPr>
      <w:rFonts w:ascii="宋体" w:eastAsia="宋体" w:cs="Times New Roman"/>
      <w:kern w:val="2"/>
      <w:sz w:val="24"/>
      <w:szCs w:val="21"/>
      <w:lang w:val="en-US" w:eastAsia="zh-CN" w:bidi="ar-SA"/>
    </w:rPr>
  </w:style>
  <w:style w:type="character" w:customStyle="1" w:styleId="49">
    <w:name w:val="3"/>
    <w:basedOn w:val="10"/>
  </w:style>
  <w:style w:type="paragraph" w:styleId="50">
    <w:name w:val="annotation text"/>
    <w:basedOn w:val="0"/>
    <w:pPr>
      <w:jc w:val="left"/>
    </w:pPr>
  </w:style>
  <w:style w:type="paragraph" w:customStyle="1" w:styleId="51">
    <w:name w:val="样式 6 小四"/>
    <w:next w:val="16"/>
    <w:pPr>
      <w:widowControl w:val="0"/>
    </w:pPr>
    <w:rPr>
      <w:rFonts w:ascii="宋体" w:eastAsia="宋体" w:cs="Times New Roman"/>
      <w:kern w:val="2"/>
      <w:sz w:val="24"/>
      <w:szCs w:val="21"/>
      <w:lang w:val="en-US" w:eastAsia="zh-CN" w:bidi="ar-SA"/>
    </w:rPr>
  </w:style>
  <w:style w:type="paragraph" w:customStyle="1" w:styleId="52">
    <w:name w:val="样式 9 小四"/>
    <w:next w:val="53"/>
    <w:pPr>
      <w:widowControl w:val="0"/>
    </w:pPr>
    <w:rPr>
      <w:rFonts w:ascii="宋体" w:eastAsia="宋体" w:cs="Times New Roman"/>
      <w:kern w:val="2"/>
      <w:sz w:val="24"/>
      <w:szCs w:val="21"/>
      <w:lang w:val="en-US" w:eastAsia="zh-CN" w:bidi="ar-SA"/>
    </w:rPr>
  </w:style>
  <w:style w:type="paragraph" w:styleId="53">
    <w:name w:val="envelope return"/>
    <w:basedOn w:val="0"/>
    <w:pPr>
      <w:snapToGrid w:val="0"/>
    </w:pPr>
    <w:rPr>
      <w:rFonts w:ascii="等线 Light" w:eastAsia="等线 Light"/>
    </w:rPr>
  </w:style>
  <w:style w:type="paragraph" w:customStyle="1" w:styleId="54">
    <w:name w:val="msocommentreference"/>
    <w:basedOn w:val="0"/>
    <w:pPr>
      <w:widowControl/>
      <w:spacing w:before="100" w:beforeAutospacing="1" w:after="100" w:afterAutospacing="1"/>
      <w:jc w:val="left"/>
    </w:pPr>
    <w:rPr>
      <w:rFonts w:ascii="宋体" w:cs="宋体"/>
      <w:kern w:val="0"/>
      <w:sz w:val="24"/>
    </w:rPr>
  </w:style>
  <w:style w:type="character" w:customStyle="1" w:styleId="55">
    <w:name w:val="11"/>
    <w:basedOn w:val="10"/>
  </w:style>
  <w:style w:type="paragraph" w:customStyle="1" w:styleId="56">
    <w:name w:val="样式 小四"/>
    <w:pPr>
      <w:widowControl w:val="0"/>
    </w:pPr>
    <w:rPr>
      <w:rFonts w:ascii="宋体" w:eastAsia="宋体" w:cs="Times New Roman"/>
      <w:kern w:val="2"/>
      <w:sz w:val="24"/>
      <w:szCs w:val="21"/>
      <w:lang w:val="en-US" w:eastAsia="zh-CN" w:bidi="ar-SA"/>
    </w:rPr>
  </w:style>
  <w:style w:type="paragraph" w:customStyle="1" w:styleId="57">
    <w:name w:val="样式"/>
    <w:rPr>
      <w:rFonts w:ascii="Times New Roman" w:eastAsia="宋体" w:cs="Times New Roman" w:hAnsi="Times New Roman"/>
      <w:color w:val="0000FF"/>
      <w:u w:val="single"/>
      <w:lang w:val="en-US" w:eastAsia="zh-CN" w:bidi="ar-SA"/>
    </w:rPr>
  </w:style>
  <w:style w:type="paragraph" w:customStyle="1" w:styleId="58">
    <w:name w:val="样式 1 小四"/>
    <w:pPr>
      <w:widowControl w:val="0"/>
    </w:pPr>
    <w:rPr>
      <w:rFonts w:ascii="宋体" w:eastAsia="宋体" w:cs="Times New Roman"/>
      <w:kern w:val="2"/>
      <w:sz w:val="24"/>
      <w:szCs w:val="21"/>
      <w:lang w:val="en-US" w:eastAsia="zh-CN" w:bidi="ar-SA"/>
    </w:rPr>
  </w:style>
  <w:style w:type="paragraph" w:customStyle="1" w:styleId="59">
    <w:name w:val="样式 2 小四"/>
    <w:pPr>
      <w:widowControl w:val="0"/>
    </w:pPr>
    <w:rPr>
      <w:rFonts w:ascii="宋体" w:eastAsia="宋体" w:cs="Times New Roman"/>
      <w:kern w:val="2"/>
      <w:sz w:val="24"/>
      <w:szCs w:val="21"/>
      <w:lang w:val="en-US" w:eastAsia="zh-CN" w:bidi="ar-SA"/>
    </w:rPr>
  </w:style>
  <w:style w:type="paragraph" w:customStyle="1" w:styleId="60">
    <w:name w:val="样式 1"/>
    <w:rPr>
      <w:rFonts w:ascii="Times New Roman" w:eastAsia="宋体" w:cs="Times New Roman" w:hAnsi="Times New Roman"/>
      <w:color w:val="0000FF"/>
      <w:u w:val="single"/>
      <w:lang w:val="en-US" w:eastAsia="zh-CN" w:bidi="ar-SA"/>
    </w:rPr>
  </w:style>
  <w:style w:type="paragraph" w:customStyle="1" w:styleId="61">
    <w:name w:val="样式 3 小四"/>
    <w:pPr>
      <w:widowControl w:val="0"/>
    </w:pPr>
    <w:rPr>
      <w:rFonts w:ascii="宋体" w:eastAsia="宋体" w:cs="Times New Roman"/>
      <w:kern w:val="2"/>
      <w:sz w:val="24"/>
      <w:szCs w:val="21"/>
      <w:lang w:val="en-US" w:eastAsia="zh-CN" w:bidi="ar-SA"/>
    </w:rPr>
  </w:style>
  <w:style w:type="paragraph" w:customStyle="1" w:styleId="62">
    <w:name w:val="样式 2"/>
    <w:rPr>
      <w:rFonts w:ascii="Times New Roman" w:eastAsia="宋体" w:cs="Times New Roman" w:hAnsi="Times New Roman"/>
      <w:color w:val="0000FF"/>
      <w:u w:val="single"/>
      <w:lang w:val="en-US" w:eastAsia="zh-CN" w:bidi="ar-SA"/>
    </w:rPr>
  </w:style>
  <w:style w:type="paragraph" w:customStyle="1" w:styleId="63">
    <w:name w:val="样式 4 小四"/>
    <w:pPr>
      <w:widowControl w:val="0"/>
    </w:pPr>
    <w:rPr>
      <w:rFonts w:ascii="宋体" w:eastAsia="宋体" w:cs="Times New Roman"/>
      <w:kern w:val="2"/>
      <w:sz w:val="24"/>
      <w:szCs w:val="21"/>
      <w:lang w:val="en-US" w:eastAsia="zh-CN" w:bidi="ar-SA"/>
    </w:rPr>
  </w:style>
  <w:style w:type="paragraph" w:customStyle="1" w:styleId="64">
    <w:name w:val="样式 3"/>
    <w:link w:val="64Char"/>
    <w:rPr>
      <w:rFonts w:ascii="Times New Roman" w:eastAsia="宋体" w:cs="Times New Roman" w:hAnsi="Times New Roman"/>
      <w:color w:val="0000FF"/>
      <w:u w:val="single"/>
      <w:lang w:val="en-US" w:eastAsia="zh-CN" w:bidi="ar-SA"/>
    </w:rPr>
  </w:style>
  <w:style w:type="character" w:customStyle="1" w:styleId="64Char">
    <w:name w:val="样式 3 Char"/>
    <w:basedOn w:val="10"/>
    <w:link w:val="64"/>
    <w:rPr>
      <w:rFonts w:ascii="Times New Roman" w:eastAsia="宋体" w:cs="Times New Roman" w:hAnsi="Times New Roman"/>
      <w:color w:val="0000FF"/>
      <w:u w:val="single"/>
      <w:lang w:val="en-US" w:eastAsia="zh-CN" w:bidi="ar-SA"/>
    </w:rPr>
  </w:style>
  <w:style w:type="paragraph" w:customStyle="1" w:styleId="65">
    <w:name w:val="样式 7 小四"/>
    <w:pPr>
      <w:widowControl w:val="0"/>
    </w:pPr>
    <w:rPr>
      <w:rFonts w:ascii="宋体" w:eastAsia="宋体" w:cs="Times New Roman"/>
      <w:kern w:val="2"/>
      <w:sz w:val="24"/>
      <w:szCs w:val="21"/>
      <w:lang w:val="en-US" w:eastAsia="zh-CN" w:bidi="ar-SA"/>
    </w:rPr>
  </w:style>
  <w:style w:type="paragraph" w:customStyle="1" w:styleId="66">
    <w:name w:val="样式 4"/>
    <w:rPr>
      <w:rFonts w:ascii="Times New Roman" w:eastAsia="宋体" w:cs="Times New Roman" w:hAnsi="Times New Roman"/>
      <w:color w:val="0000FF"/>
      <w:u w:val="single"/>
      <w:lang w:val="en-US" w:eastAsia="zh-CN" w:bidi="ar-SA"/>
    </w:rPr>
  </w:style>
  <w:style w:type="paragraph" w:customStyle="1" w:styleId="67">
    <w:name w:val="样式 8 小四"/>
    <w:pPr>
      <w:widowControl w:val="0"/>
    </w:pPr>
    <w:rPr>
      <w:rFonts w:ascii="宋体" w:eastAsia="宋体" w:cs="Times New Roman"/>
      <w:kern w:val="2"/>
      <w:sz w:val="24"/>
      <w:szCs w:val="21"/>
      <w:lang w:val="en-US" w:eastAsia="zh-CN" w:bidi="ar-SA"/>
    </w:rPr>
  </w:style>
  <w:style w:type="paragraph" w:customStyle="1" w:styleId="68">
    <w:name w:val="样式 5"/>
    <w:rPr>
      <w:rFonts w:ascii="Times New Roman" w:eastAsia="宋体" w:cs="Times New Roman" w:hAnsi="Times New Roman"/>
      <w:color w:val="0000FF"/>
      <w:u w:val="single"/>
      <w:lang w:val="en-US" w:eastAsia="zh-CN" w:bidi="ar-SA"/>
    </w:rPr>
  </w:style>
  <w:style w:type="paragraph" w:customStyle="1" w:styleId="69">
    <w:name w:val="样式 10 小四"/>
    <w:pPr>
      <w:widowControl w:val="0"/>
    </w:pPr>
    <w:rPr>
      <w:rFonts w:ascii="宋体" w:eastAsia="宋体" w:cs="Times New Roman"/>
      <w:kern w:val="2"/>
      <w:sz w:val="24"/>
      <w:szCs w:val="21"/>
      <w:lang w:val="en-US" w:eastAsia="zh-CN" w:bidi="ar-SA"/>
    </w:rPr>
  </w:style>
  <w:style w:type="paragraph" w:customStyle="1" w:styleId="70">
    <w:name w:val="样式 6"/>
    <w:rPr>
      <w:rFonts w:ascii="Times New Roman" w:eastAsia="宋体" w:cs="Times New Roman" w:hAnsi="Times New Roman"/>
      <w:color w:val="0000FF"/>
      <w:u w:val="single"/>
      <w:lang w:val="en-US" w:eastAsia="zh-CN" w:bidi="ar-SA"/>
    </w:rPr>
  </w:style>
  <w:style w:type="paragraph" w:customStyle="1" w:styleId="71">
    <w:name w:val="样式 11 小四"/>
    <w:pPr>
      <w:widowControl w:val="0"/>
    </w:pPr>
    <w:rPr>
      <w:rFonts w:ascii="宋体" w:eastAsia="宋体" w:cs="Times New Roman"/>
      <w:kern w:val="2"/>
      <w:sz w:val="24"/>
      <w:szCs w:val="21"/>
      <w:lang w:val="en-US" w:eastAsia="zh-CN" w:bidi="ar-SA"/>
    </w:rPr>
  </w:style>
  <w:style w:type="paragraph" w:customStyle="1" w:styleId="72">
    <w:name w:val="样式 12 小四"/>
    <w:pPr>
      <w:widowControl w:val="0"/>
    </w:pPr>
    <w:rPr>
      <w:rFonts w:ascii="宋体" w:eastAsia="宋体" w:cs="Times New Roman"/>
      <w:kern w:val="2"/>
      <w:sz w:val="24"/>
      <w:szCs w:val="21"/>
      <w:lang w:val="en-US" w:eastAsia="zh-CN" w:bidi="ar-SA"/>
    </w:rPr>
  </w:style>
  <w:style w:type="paragraph" w:customStyle="1" w:styleId="73">
    <w:name w:val="样式 7"/>
    <w:rPr>
      <w:rFonts w:ascii="Times New Roman" w:eastAsia="宋体" w:cs="Times New Roman" w:hAnsi="Times New Roman"/>
      <w:color w:val="0000FF"/>
      <w:u w:val="single"/>
      <w:lang w:val="en-US" w:eastAsia="zh-CN" w:bidi="ar-SA"/>
    </w:rPr>
  </w:style>
  <w:style w:type="paragraph" w:customStyle="1" w:styleId="74">
    <w:name w:val="正文37"/>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w:next w:val="0"/>
    <w:rPr>
      <w:rFonts w:ascii="Times New Roman" w:eastAsia="宋体" w:cs="Times New Roman" w:hAnsi="Times New Roman"/>
      <w:color w:val="0000FF"/>
      <w:u w:val="single"/>
      <w:lang w:val="en-US" w:eastAsia="zh-CN" w:bidi="ar-SA"/>
    </w:rPr>
  </w:style>
  <w:style w:type="paragraph" w:customStyle="1" w:styleId="76">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40 10 磅"/>
    <w:link w:val="79Char"/>
    <w:pPr>
      <w:widowControl w:val="0"/>
      <w:jc w:val="both"/>
    </w:pPr>
    <w:rPr>
      <w:rFonts w:ascii="Times New Roman" w:eastAsia="宋体" w:cs="Times New Roman" w:hAnsi="Times New Roman"/>
      <w:kern w:val="2"/>
      <w:sz w:val="21"/>
      <w:szCs w:val="24"/>
      <w:lang w:val="en-US" w:eastAsia="zh-CN" w:bidi="ar-SA"/>
    </w:rPr>
  </w:style>
  <w:style w:type="character" w:customStyle="1" w:styleId="79Char">
    <w:name w:val="样式 40 10 磅 Char"/>
    <w:basedOn w:val="10"/>
    <w:link w:val="79"/>
    <w:rPr>
      <w:rFonts w:ascii="Times New Roman" w:eastAsia="宋体" w:cs="Times New Roman" w:hAnsi="Times New Roman"/>
      <w:kern w:val="2"/>
      <w:sz w:val="21"/>
      <w:szCs w:val="24"/>
      <w:lang w:val="en-US" w:eastAsia="zh-CN" w:bidi="ar-SA"/>
    </w:rPr>
  </w:style>
  <w:style w:type="paragraph" w:customStyle="1" w:styleId="80">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43 10 磅"/>
    <w:link w:val="81Char"/>
    <w:pPr>
      <w:widowControl w:val="0"/>
      <w:jc w:val="both"/>
    </w:pPr>
    <w:rPr>
      <w:rFonts w:ascii="Times New Roman" w:eastAsia="宋体" w:cs="Times New Roman" w:hAnsi="Times New Roman"/>
      <w:kern w:val="2"/>
      <w:sz w:val="21"/>
      <w:szCs w:val="24"/>
      <w:lang w:val="en-US" w:eastAsia="zh-CN" w:bidi="ar-SA"/>
    </w:rPr>
  </w:style>
  <w:style w:type="character" w:customStyle="1" w:styleId="81Char">
    <w:name w:val="样式 43 10 磅 Char"/>
    <w:basedOn w:val="10"/>
    <w:link w:val="81"/>
    <w:rPr>
      <w:rFonts w:ascii="Times New Roman" w:eastAsia="宋体" w:cs="Times New Roman" w:hAnsi="Times New Roman"/>
      <w:kern w:val="2"/>
      <w:sz w:val="21"/>
      <w:szCs w:val="24"/>
      <w:lang w:val="en-US" w:eastAsia="zh-CN" w:bidi="ar-SA"/>
    </w:rPr>
  </w:style>
  <w:style w:type="paragraph" w:customStyle="1" w:styleId="82">
    <w:name w:val="样式 3"/>
    <w:next w:val="0"/>
    <w:pPr>
      <w:widowControl w:val="0"/>
      <w:jc w:val="both"/>
    </w:pPr>
    <w:rPr>
      <w:rFonts w:ascii="Times New Roman" w:eastAsia="宋体" w:cs="Times New Roman" w:hAnsi="Times New Roman"/>
      <w:color w:val="0000FF"/>
      <w:kern w:val="2"/>
      <w:sz w:val="21"/>
      <w:szCs w:val="24"/>
      <w:u w:val="single"/>
      <w:lang w:val="en-US" w:eastAsia="zh-CN" w:bidi="ar-SA"/>
    </w:rPr>
  </w:style>
  <w:style w:type="paragraph" w:customStyle="1" w:styleId="83">
    <w:name w:val="正文文本缩进1"/>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84">
    <w:name w:val="正文69"/>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正文67"/>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正文66"/>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46 10 磅"/>
    <w:pPr>
      <w:widowControl w:val="0"/>
      <w:jc w:val="both"/>
    </w:pPr>
    <w:rPr>
      <w:rFonts w:ascii="Times New Roman" w:eastAsia="宋体" w:cs="Times New Roman" w:hAnsi="Times New Roman"/>
      <w:kern w:val="2"/>
      <w:sz w:val="21"/>
      <w:szCs w:val="24"/>
      <w:lang w:val="en-US" w:eastAsia="zh-CN" w:bidi="ar-SA"/>
    </w:rPr>
  </w:style>
  <w:style w:type="paragraph" w:styleId="88">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117</TotalTime>
  <Application>Yozo_Office</Application>
  <Pages>41</Pages>
  <Words>14780</Words>
  <Characters>17058</Characters>
  <Lines>1071</Lines>
  <Paragraphs>460</Paragraphs>
  <CharactersWithSpaces>17451</CharactersWithSpaces>
  <Company>cchg</Company>
</Properties>
</file>

<file path=docProps/core.xml><?xml version="1.0" encoding="utf-8"?>
<cp:coreProperties xmlns:cp="http://schemas.openxmlformats.org/package/2006/metadata/core-properties" xmlns:dc="http://purl.org/dc/elements/1.1/" xmlns:dcterms="http://purl.org/dc/terms/" xmlns:xsi="http://www.w3.org/2001/XMLSchema-instance">
  <dc:creator>mashuangwei</dc:creator>
  <cp:lastModifiedBy>金文超</cp:lastModifiedBy>
  <cp:revision>23</cp:revision>
  <cp:lastPrinted>2019-06-10T03:13:00Z</cp:lastPrinted>
  <dcterms:created xsi:type="dcterms:W3CDTF">2023-07-17T01:41:00Z</dcterms:created>
  <dcterms:modified xsi:type="dcterms:W3CDTF">2023-07-24T02:31:29Z</dcterms:modified>
</cp:coreProperties>
</file>