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eastAsia="黑体" w:cs="黑体" w:hint="eastAsia"/>
          <w:sz w:val="44"/>
          <w:szCs w:val="44"/>
          <w:lang w:val="en-US" w:eastAsia="zh-CN"/>
        </w:rPr>
      </w:pPr>
      <w:r>
        <w:rPr>
          <w:rFonts w:ascii="黑体" w:eastAsia="黑体" w:cs="黑体" w:hint="eastAsia"/>
          <w:sz w:val="44"/>
          <w:szCs w:val="44"/>
          <w:lang w:val="en-US" w:eastAsia="zh-CN"/>
        </w:rPr>
        <w:t>废止规范性文件目录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329"/>
        <w:gridCol w:w="6526"/>
      </w:tblGrid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文号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标题</w:t>
            </w:r>
          </w:p>
        </w:tc>
      </w:tr>
      <w:tr>
        <w:trPr>
          <w:trHeight w:val="379"/>
        </w:trP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0"/>
                <w:szCs w:val="20"/>
                <w:vertAlign w:val="baseline"/>
                <w:lang w:val="en-US" w:eastAsia="zh-CN"/>
              </w:rPr>
              <w:t>[</w:t>
            </w: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1988] 53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关于进口汽车解封后维修、销售有关事宜的通知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0"/>
                <w:szCs w:val="20"/>
                <w:vertAlign w:val="baseline"/>
                <w:lang w:val="en-US" w:eastAsia="zh-CN"/>
              </w:rPr>
              <w:t>[</w:t>
            </w: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1990] 206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关于印发《长春关区开展反走私情报工作具体措施》的通知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0"/>
                <w:szCs w:val="20"/>
                <w:vertAlign w:val="baseline"/>
                <w:lang w:val="en-US" w:eastAsia="zh-CN"/>
              </w:rPr>
              <w:t>[</w:t>
            </w: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1992] 91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关于下发《长春海关关于走私违规案件调查审理包案管理办法》的通知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0"/>
                <w:szCs w:val="20"/>
                <w:vertAlign w:val="baseline"/>
                <w:lang w:val="en-US" w:eastAsia="zh-CN"/>
              </w:rPr>
              <w:t>[</w:t>
            </w: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1994] 45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关于下发《长春海关关于走私、违规案件审理监督制度的暂行规定》的通知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0"/>
                <w:szCs w:val="20"/>
                <w:vertAlign w:val="baseline"/>
                <w:lang w:val="en-US" w:eastAsia="zh-CN"/>
              </w:rPr>
              <w:t>[</w:t>
            </w: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1995] 336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关于下发《长春关区走私、违规案件调查工作细则》等七个规程的通知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0"/>
                <w:szCs w:val="20"/>
                <w:vertAlign w:val="baseline"/>
                <w:lang w:val="en-US" w:eastAsia="zh-CN"/>
              </w:rPr>
              <w:t>[</w:t>
            </w: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1995] 0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长春海关关于执行海关总署《走私、违规案件调查工作规程》的操作程序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[1996] 279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关于印发《长春关区调查系统执法检查工作规程》的通知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0"/>
                <w:szCs w:val="20"/>
                <w:vertAlign w:val="baseline"/>
                <w:lang w:val="en-US" w:eastAsia="zh-CN"/>
              </w:rPr>
              <w:t>[</w:t>
            </w: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1997] 257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长春海关关于下发《长春关区缉毒犬执法工作细则》的通知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[1997] 256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长春海关关于转发《调查局关于下发执行&lt;海关使用缉毒犬执法工作规则&gt;的通知》的通知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长关稽传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[1997] 295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长春海关关于贯彻落实“海关总署关于发布《中华人民共和国海关对报关员管理规定》的通知”的若干意见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[1998] 169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长春海关关于下发《长春海关关于计核走私案件偷逃进出口税款暂行办法》的通知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[2003] 29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关于下发《长春海关MOU工作管理办法》有关问题的通知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rPr>
          <w:trHeight w:val="744"/>
        </w:trP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[2004] 299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关于实施《中华人民共和国海关对报关员积分考核管理办法》的通知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[2006] 217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长春海关关于调整部分企业管理类别的通知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[2006] 280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长春海关关于2006年度调整部分企业管理类别的通知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[2006] 330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长春海关关于下发《长春关区2006年度报关员资格考试实施方案》的通知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[2013] 251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长春海关关于印发《长春海关对报关员记分考核管理操作规程》的通知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[2013] 81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长春海关关于《企业稽查部门承担AA类企业和A类生产型企业监管职责实施方案(试行)》相关意见的函</w:t>
            </w:r>
          </w:p>
        </w:tc>
      </w:tr>
      <w:tr>
        <w:trPr>
          <w:trHeight w:val="622"/>
        </w:trP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[1992] 0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长春海关对义务核销员的管理规则(试行)</w:t>
            </w:r>
          </w:p>
        </w:tc>
      </w:tr>
      <w:tr>
        <w:trPr>
          <w:trHeight w:val="379"/>
        </w:trP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长关公告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[2013]1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长春海关关于办理出境加工业务相关事项的公告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长关公告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[2011]1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长春海关规范申报公告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长关公告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[2015]4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长春海关关于提高报关单随附单证无纸化水平的公告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珲关办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[2017]1号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珲春海关关于印发《珲春海关边民互市贸易监管操作规程(</w:t>
            </w:r>
            <w:bookmarkStart w:id="0" w:name="_GoBack"/>
            <w:bookmarkEnd w:id="0"/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试行)》的通知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临关办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[1997]14号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临江海关关于对边贸合同管理的规定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临关办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[1997]16号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临江海关关于对辖区内进出口企业、单位建立、健全会计账册、资料的规定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临关业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[1998] 86号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关于临江关区减免税审批管理实施细则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临关业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[1998] 82号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关于印发《临江海关快速通关管理办法》的通知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图关行字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[1979]第5号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关于《中国籍边民出境携带粮、油、布票管理意见》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图关政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[1987]46号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关于施行行政管理几项规定的通知</w:t>
            </w:r>
          </w:p>
        </w:tc>
      </w:tr>
      <w:tr>
        <w:trPr>
          <w:trHeight w:val="603"/>
        </w:trP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图关货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[1987]25号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关于海关业务统计若干问题的补充通知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图关业一[1993]124号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关于实施《出料加工进出口货物监管操作规程》的通知</w:t>
            </w:r>
          </w:p>
        </w:tc>
      </w:tr>
      <w:tr>
        <w:trPr>
          <w:trHeight w:val="744"/>
        </w:trP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图关调字[1995]20号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关于下发《图们海关对行邮现场走私违规案件的处罚尺度》的通知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图关调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[1997]39号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图们海关关于印发《关于统计项目申报不实的处罚办法》的通知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图关贷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[1996]24号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关于下发《图们海关试行加工贸易进口料件银行保证金台账制度实施方案》的通知|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图关函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[2012]1号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图们海关关于促进外贸稳定增长有关措施的函</w:t>
            </w:r>
          </w:p>
        </w:tc>
      </w:tr>
      <w:tr>
        <w:tc>
          <w:tcPr>
            <w:tcW w:w="6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长白关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[2016]4号</w:t>
            </w:r>
          </w:p>
        </w:tc>
        <w:tc>
          <w:tcPr>
            <w:tcW w:w="65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vertAlign w:val="baseline"/>
                <w:lang w:val="en-US" w:eastAsia="zh-CN"/>
              </w:rPr>
              <w:t>长白海关关于印发《长白海关临时口岸管理制度》的通知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仿宋" w:eastAsia="仿宋" w:cs="仿宋" w:hint="eastAsia"/>
          <w:sz w:val="21"/>
          <w:szCs w:val="21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jhkMjkzMDVkZmM4MDcyYTRmZjM1M2Q1NzgyYzI2Njg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customStyle="1" w:styleId="123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180</TotalTime>
  <Application>Yozo_Office</Application>
  <Pages>2</Pages>
  <Words>1197</Words>
  <Characters>1467</Characters>
  <Lines>167</Lines>
  <Paragraphs>145</Paragraphs>
  <CharactersWithSpaces>1488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一米阳光</dc:creator>
  <cp:lastModifiedBy>王琪</cp:lastModifiedBy>
  <cp:revision>1</cp:revision>
  <dcterms:created xsi:type="dcterms:W3CDTF">2025-12-17T02:56:00Z</dcterms:created>
  <dcterms:modified xsi:type="dcterms:W3CDTF">2025-12-17T06:47:49Z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2052-12.1.0.16929</vt:lpwstr>
  </property>
  <property fmtid="{D5CDD505-2E9C-101B-9397-08002B2CF9AE}" pid="3" name="ICV">
    <vt:lpwstr>F46A830384034ACBB7216DB7B090F819_11</vt:lpwstr>
  </property>
</Properties>
</file>